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____________________________________________________</w:t>
      </w:r>
    </w:p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(наименование образовательной организации)</w:t>
      </w:r>
    </w:p>
    <w:p/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____________________________________</w:t>
      </w:r>
    </w:p>
    <w:p/>
    <w:p/>
    <w:p/>
    <w:p/>
    <w:p/>
    <w:p>
      <w:pPr>
        <w:spacing w:line="3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 лабораторным работам № 1–9</w:t>
      </w:r>
    </w:p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по дисциплине «Программная инженерия»</w:t>
      </w:r>
    </w:p>
    <w:p/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проекта: «Информационная система кинотеатра «Cinema App»»</w:t>
      </w:r>
    </w:p>
    <w:p/>
    <w:p/>
    <w:p/>
    <w:p/>
    <w:p/>
    <w:p/>
    <w:p>
      <w:pPr>
        <w:spacing w:line="360"/>
        <w:ind w:left="453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гр. ________</w:t>
      </w:r>
    </w:p>
    <w:p>
      <w:pPr>
        <w:spacing w:line="360"/>
        <w:ind w:left="453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 / _______________ /</w:t>
      </w:r>
    </w:p>
    <w:p/>
    <w:p>
      <w:pPr>
        <w:spacing w:line="360"/>
        <w:ind w:left="453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</w:t>
      </w:r>
    </w:p>
    <w:p>
      <w:pPr>
        <w:spacing w:line="360"/>
        <w:ind w:left="4536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 / Щупов ________ /</w:t>
      </w:r>
    </w:p>
    <w:p/>
    <w:p/>
    <w:p/>
    <w:p/>
    <w:p/>
    <w:p/>
    <w:p/>
    <w:p>
      <w:pPr>
        <w:spacing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pPr>
        <w:pageBreakBefore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1. Разработка технического задания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4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2. Разработка календарного плана проекта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6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3. Построение модели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8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4. Выгрузка модели данных в СУБД и реверс-инжиниринг БД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11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5. Построение функциональной модели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13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6. Построение процессной модели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16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7. Построение модели потоков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18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8. Проектирование архитектуры программного комплекса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21</w:t>
      </w:r>
    </w:p>
    <w:p>
      <w:pPr>
        <w:tabs>
          <w:tab w:val="right" w:pos="9355" w:leader="dot"/>
        </w:tabs>
        <w:spacing w:after="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9. UML. Диаграмма классов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23</w:t>
      </w:r>
    </w:p>
    <w:p>
      <w:pPr>
        <w:pStyle w:val="Heading1"/>
        <w:pageBreakBefore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Работы выполнены на материале собственного проекта — веб-приложения «Cinema App» (информационная система кинотеатра, Python 3.13 / Django 6.1, репозиторий </w:t>
      </w:r>
      <w:r>
        <w:rPr>
          <w:rFonts w:ascii="Courier New" w:cs="Courier New" w:eastAsia="Courier New" w:hAnsi="Courier New"/>
          <w:sz w:val="24"/>
          <w:szCs w:val="24"/>
        </w:rPr>
        <w:t xml:space="preserve">Puker228/cinema-app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Windows-инструменты методических указаний заменены аналогами для Linux: LibreOffice Writer (вместо Мастера ТЗ), GNOME Planner (OpenProject), Dia (ERwin-диаграммы, BPwin, Visio), PostgreSQL и SchemaSpy (MS SQL, ERwin), Umbrello и PlantUML (StarUML).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1. Разработка технического задания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рекомендации стандартов на составление технического задания и получить навыки разработки и структуризации требований.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ТЗ на ИС кинотеатра «Cinema App» (Python 3.13, Django 6.1) составлено по структуре ГОСТ 19.201-78, которую формирует «Мастер ТЗ»: наименование, назначение, функциональные требования, надёжность, условия эксплуатации, технические средства, языки программирования, защита информации, стадии и этапы, порядок приёмки. Документ подготовлен в LibreOffice Writer (рис. 1.1) и экспортирован в PDF (рис. 1.2).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476750" cy="2514600"/>
            <wp:effectExtent t="0" r="0" b="0" l="0"/>
            <wp:docPr id="1" name="l1_writer.png" descr="Раздел функциональных требований ТЗ в LibreOffice Writer" title="Раздел функциональных требований ТЗ в LibreOffice Wri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1.1 – Раздел функциональных требований ТЗ в LibreOffice Writer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476750" cy="2514600"/>
            <wp:effectExtent t="0" r="0" b="0" l="0"/>
            <wp:docPr id="1" name="l1_pdfdlg.png" descr="Экспорт технического задания в PDF" title="Экспорт технического задания в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1.2 – Экспорт технического задания в PDF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Индивидуальное задание: основные положения ТЗ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Полный текст ТЗ приведён в отдельном файле </w:t>
      </w:r>
      <w:r>
        <w:rPr>
          <w:rFonts w:ascii="Courier New" w:cs="Courier New" w:eastAsia="Courier New" w:hAnsi="Courier New"/>
          <w:sz w:val="24"/>
          <w:szCs w:val="24"/>
        </w:rPr>
        <w:t xml:space="preserve">ТЗ_Cinema_App.docx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(6 с.). Кратко: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Наименование: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«Информационная система кинотеатра «Cinema App»».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Назначение: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продажа билетов, ведение репертуара и расписания, отчётность.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Функции: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каталог фильмов (название, длительность &gt; 0, рейтинг 0+/6+/12+/16+/18+, жанры M:N); залы и места (ряд, место &gt; 0, уникальны в зале); сеансы (фильм, зал, время, цена ≥ 0, статус); продажа и бронирование билетов (одно место на сеанс — один билет, статусы «Забронирован/Оплачен/Возвращён»), онлайн-оплата и электронный билет; учёт клиентов; Django Admin; отчёты о продажах.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Надёжность: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ограничения целостности СУБД, транзакции, ежедневное резервное копирование, восстановление после сбоя ≤ 30 мин.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Технические средства: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сервер Linux (2 ядра, 4 ГБ ОЗУ, 20 ГБ SSD); клиент — любой современный браузер.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Языки и ПО: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Python 3.13, Django 6.1, HTML/CSS, PostgreSQL 16 (SQLite в разработке), Nginx, Gunicorn, </w:t>
      </w:r>
      <w:r>
        <w:rPr>
          <w:rFonts w:ascii="Courier New" w:cs="Courier New" w:eastAsia="Courier New" w:hAnsi="Courier New"/>
          <w:sz w:val="24"/>
          <w:szCs w:val="24"/>
        </w:rPr>
        <w:t xml:space="preserve">uv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ruff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Защита информации: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HTTPS, вход в админку по паролю, защита от CSRF/XSS/SQL-инъекций, данные карт не хранятся, ФЗ-152.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анализ и ТЗ → проектирование → реализация → тестирование → внедрение → сопровождение (07.09–11.12.2026).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Приёмка: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испытания по программе и методике, защита работы.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Что такое техническое задание?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документ для разработки, устанавливающий назначение изделия, требования к нему, сроки, этапы и порядок приёмки.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Какую информацию должно содержать техническое задание?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ГОСТ 19.201-78: введение, основания для разработки, назначение, требования к программе (функциональные, надёжность, условия эксплуатации, технические средства, совместимость и др.), требования к документации, технико-экономические показатели, стадии и этапы, порядок контроля и приёмки.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Для чего требуется составлять ТЗ при написании программ?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зафиксировать согласованные требования, задать критерии приёмки, спланировать работы и избежать изменения требований в ходе разработки.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Какие ГОСТы на технические задания существуют?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ГОСТ 19.201-78 (программы), ГОСТ 34.602 (автоматизированные системы), ГОСТ 15.016-2016 (продукция); также IEEE 830-1998.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Для чего применяется программа Мастер ТЗ?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создания ТЗ на ПО по ГОСТ в режиме пошагового мастера с шаблонами разделов и экспортом в текстовый документ.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Каковы условия распространения программы Мастер ТЗ?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Бесплатно (freeware), свободное использование без регистрации; работает под Windows.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Изучен ГОСТ 19.201-78 и разработано ТЗ на ИС «Cinema App» с требованиями, соответствующими моделям данных проекта.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2. Разработка календарного плана проекта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Познакомиться с инструментами разработки календарного плана проекта.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составлен в GNOME Planner (аналог OpenProject/MS Project). Создан проект «Cinema App» (начало 07.09.2026), добавлены 6 задач по этапам ЖЦ ПО и веха «Сдача проекта», заданы предшественники (связь FS), добавлены ресурсы и назначены исполнители (табл. 2.1, рис. 2.1–2.2).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– Календарный план (2026 г.)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3555"/>
        <w:gridCol w:w="1029"/>
        <w:gridCol w:w="1029"/>
        <w:gridCol w:w="748"/>
        <w:gridCol w:w="748"/>
        <w:gridCol w:w="1685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Начало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Оконч.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Дн.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Пред.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Исполнитель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требований и ТЗ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07.09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18.09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Аналитик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21.09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02.10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Аналитик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05.10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06.11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Разработчик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 отладка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09.11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20.11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Тестировщик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Внедрение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23.11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27.11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Разработчик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Сопровождение, документация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30.11</w:t>
            </w:r>
          </w:p>
        </w:tc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11.12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Аналитик</w:t>
            </w:r>
          </w:p>
        </w:tc>
      </w:tr>
    </w:tbl>
    <w:p>
      <w:pPr>
        <w:spacing w:after="12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1285875"/>
            <wp:effectExtent t="0" r="0" b="0" l="0"/>
            <wp:docPr id="1" name="l2_tasks.png" descr="Задачи проекта, сроки и исполнители в Planner" title="Задачи проекта, сроки и исполнители в Pl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2.1 – Задачи проекта, сроки и исполнители в Planner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1400175"/>
            <wp:effectExtent t="0" r="0" b="0" l="0"/>
            <wp:docPr id="1" name="l2_gantt.png" descr="Диаграмма Гантта проекта" title="Диаграмма Гантт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2.2 – Диаграмма Гантта проекта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Что такое OpenProject?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Бесплатная кроссплатформенная программа управления проектами (аналог MS Project): задачи, ресурсы, диаграмма Гантта.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Что представляет собой проект в OpenProject?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Совокупность взаимосвязанных работ с датой начала, календарём и ресурсами.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Что представляет собой работа в OpenProject?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Трудовой процесс с содержанием, длительностью, сроками, связями и ресурсами; работа нулевой длительности — веха.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Что обычно подразумевается под ресурсами?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Исполнители проекта, а также оборудование и материалы (компьютеры, серверы).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Что такое Диаграмма Гантта?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Столбчатая диаграмма плана: задачи — полосы вдоль оси времени, их длина — длительность; показываются связи, вехи и исполнители.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Какие этапы присутствуют в календарном плане проекта?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Анализ требований, проектирование, реализация, тестирование, внедрение, сопровождение.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Составлен календарный план проекта (70 рабочих дней) со связями и исполнителями, получена диаграмма Гантта.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3. Построение модели данных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Получить навыки разработки моделей данных информационных систем.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ИС кинотеатра (вместо варианта из перечня — тема проекта) выделены сущности: Фильм, Жанр, Зал, Место, Сеанс, Клиент, Билет, Статус билета. Концептуальная модель в нотации Чена построена в редакторе Dia (рис. 3.1), логическая модель с ключами — на рис. 3.2, связи — в табл. 3.1.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476750" cy="4086225"/>
            <wp:effectExtent t="0" r="0" b="0" l="0"/>
            <wp:docPr id="1" name="l3_concept.png" descr="Концептуальная ER-диаграмма ИС «Cinema App»" title="Концептуальная ER-диаграмма ИС «Cinema App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3.1 – Концептуальная ER-диаграмма ИС «Cinema App»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953000" cy="4143375"/>
            <wp:effectExtent t="0" r="0" b="0" l="0"/>
            <wp:docPr id="1" name="l3_logical.png" descr="Логическая модель данных (PK, FK, мощности связей)" title="Логическая модель данных (PK, FK, мощности связе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3.2 – Логическая модель данных (PK, FK, мощности связей)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– Связи модели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7"/>
        <w:gridCol w:w="1123"/>
        <w:gridCol w:w="5425"/>
      </w:tblGrid>
      <w:tr>
        <w:trPr>
          <w:tblHeader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Сущности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Жанр — Фильм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через сущность Фильм_Жанр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Фильм — Сеанс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фильм показывается на сеансах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Зал — Сеанс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сеанс проводится в зале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Зал — Место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зависимо от зала (AK: зал, ряд, место)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Сеанс — Билет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AK билета: (сеанс, место)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— Билет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занимается билетом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Клиент — Билет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необязательная (билет без клиента)</w:t>
            </w:r>
          </w:p>
        </w:tc>
      </w:tr>
      <w:tr>
        <w:trPr>
          <w:cantSplit/>
        </w:trPr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Статус — Билет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1:N</w:t>
            </w:r>
          </w:p>
        </w:tc>
        <w:tc>
          <w:tcPr>
            <w:tcW w:type="dxa" w:w="54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справочник статусов</w:t>
            </w:r>
          </w:p>
        </w:tc>
      </w:tr>
    </w:tbl>
    <w:p>
      <w:pPr>
        <w:spacing w:after="12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l3_dia_concept.png" descr="Построение ER-диаграммы в Dia" title="Построение ER-диаграммы в 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3.3 – Построение ER-диаграммы в Dia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Что является целью моделирования данных?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Получить концептуальную схему БД, легко отображаемую в любую СУБД.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Что такое сущность?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Реальный или воображаемый объект, значимый для предметной области (например, «Фильм»).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Что такое экземпляр сущности?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Конкретный представитель сущности, например фильм «Интерстеллар».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Что называют связью?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Поименованную ассоциацию между сущностями, значимую для предметной области.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Что такое степень связи?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 участвующих в связи сущностей: бинарная, N-арная, рекурсивная.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Что такое мощность и каких типов она бывает?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Максимальное число связанных экземпляров: 1, N или конкретное число.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Какие типы связей бывают?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1:1, 1:N, M:N; также «супертип–подтип».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Какие виды идентификаторов существуют?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Первичный/альтернативный, простой/составной, абсолютный/относительный.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Построены концептуальная и логическая модели данных: 8 сущностей и 8 связей, связь M:N разрешена ассоциативной сущностью.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4. Выгрузка модели данных в СУБД и реверс-инжиниринг БД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Получить навыки выгрузки модели данных в СУБД, познакомиться с реверс-инжинирингом БД.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Вместо ERwin и MS SQL (только Windows) использованы эквиваленты: физическая модель — модели Django </w:t>
      </w:r>
      <w:r>
        <w:rPr>
          <w:rFonts w:ascii="Courier New" w:cs="Courier New" w:eastAsia="Courier New" w:hAnsi="Courier New"/>
          <w:sz w:val="24"/>
          <w:szCs w:val="24"/>
        </w:rPr>
        <w:t xml:space="preserve">main/models.py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генерация DDL (аналог Forward Engineering) — </w:t>
      </w:r>
      <w:r>
        <w:rPr>
          <w:rFonts w:ascii="Courier New" w:cs="Courier New" w:eastAsia="Courier New" w:hAnsi="Courier New"/>
          <w:sz w:val="24"/>
          <w:szCs w:val="24"/>
        </w:rPr>
        <w:t xml:space="preserve">manage.py sqlmigrate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СУБД — PostgreSQL 16; обратное проектирование — </w:t>
      </w:r>
      <w:r>
        <w:rPr>
          <w:rFonts w:ascii="Courier New" w:cs="Courier New" w:eastAsia="Courier New" w:hAnsi="Courier New"/>
          <w:sz w:val="24"/>
          <w:szCs w:val="24"/>
        </w:rPr>
        <w:t xml:space="preserve">inspectdb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SchemaSpy.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Сгенерирован скрипт </w:t>
      </w:r>
      <w:r>
        <w:rPr>
          <w:rFonts w:ascii="Courier New" w:cs="Courier New" w:eastAsia="Courier New" w:hAnsi="Courier New"/>
          <w:sz w:val="24"/>
          <w:szCs w:val="24"/>
        </w:rPr>
        <w:t xml:space="preserve">cinema_schema.sql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9 CREATE TABLE, 24 ALTER TABLE (FK, CHECK, UNIQUE), 15 CREATE INDEX (рис. 4.1).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1743075"/>
            <wp:effectExtent t="0" r="0" b="0" l="0"/>
            <wp:docPr id="1" name="l4_a.png" descr="Генерация DDL-скрипта по модели данных" title="Генерация DDL-скрипта по модели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4.1 – Генерация DDL-скрипта по модели данных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Создана пустая БД </w:t>
      </w:r>
      <w:r>
        <w:rPr>
          <w:rFonts w:ascii="Courier New" w:cs="Courier New" w:eastAsia="Courier New" w:hAnsi="Courier New"/>
          <w:sz w:val="24"/>
          <w:szCs w:val="24"/>
        </w:rPr>
        <w:t xml:space="preserve">cinema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скрипт выполнен, загружены тестовые данные; создано 9 таблиц (рис. 4.2).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l4_b.png" descr="Выполнение скрипта в PostgreSQL и список таблиц" title="Выполнение скрипта в PostgreSQL и список табл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4.2 – Выполнение скрипта в PostgreSQL и список таблиц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По готовой БД </w:t>
      </w:r>
      <w:r>
        <w:rPr>
          <w:rFonts w:ascii="Courier New" w:cs="Courier New" w:eastAsia="Courier New" w:hAnsi="Courier New"/>
          <w:sz w:val="24"/>
          <w:szCs w:val="24"/>
        </w:rPr>
        <w:t xml:space="preserve">inspectdb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восстановил модели, а SchemaSpy — ER-диаграмму (рис. 4.3), совпадающую с моделью из ЛР № 3.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2571750" cy="4048125"/>
            <wp:effectExtent t="0" r="0" b="0" l="0"/>
            <wp:docPr id="1" name="l4_reverse_large.png" descr="ER-диаграмма, восстановленная по БД (SchemaSpy)" title="ER-диаграмма, восстановленная по БД (SchemaSp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4.3 – ER-диаграмма, восстановленная по БД (SchemaSpy)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Для каких операций с базами данных предназначен ERwin?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логической и физической моделей, генерация схемы БД и DDL, триггеров, обратное проектирование и синхронизация модели с БД.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Какие действия позволяет выполнить обратная разработка?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Восстановить модель по существующей БД, перенести структуру в другую СУБД, исследовать и документировать старые проекты.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Можно ли при помощи ERwin переносить между СУБД структуру баз данных?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Да, ERwin конвертирует физическую схему между СУБД.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Можно ли при помощи ERwin переносить между СУБД данные из таблиц?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Нет, переносится только структура.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В чем заключается обратное проектирование баз данных?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восстановлении информационной модели по каталогу существующей БД или по SQL-скрипту её создания.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Какие действия необходимо выполнить для генерации БД из ERwin в СУБД?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Построить модели, создать пустую БД, выбрать СУБД (Database → Choose Database), выполнить Tools → Forward Engineer/Schema Generation и запустить полученный скрипт.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данных выгружена в PostgreSQL (9 таблиц с ключами и ограничениями), обратное проектирование восстановило идентичную схему.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5. Построение функциональной модели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Получить навыки построения функциональной модели.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IDEF0 построена в Dia (палитра SADT/IDEF0). Цель — описать процесс продажи билетов для автоматизации; точка зрения — администратор кинотеатра. Контекстная диаграмма A-0 (рис. 5.1): входы — сведения о фильмах, запрос клиента, оплата; управление — возрастные ограничения, правила продажи, тарифы, требования к отчётности; выходы — билет, чек, отчёт; механизмы — администратор, кассир, ИС.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3743325"/>
            <wp:effectExtent t="0" r="0" b="0" l="0"/>
            <wp:docPr id="1" name="l5_A-0.png" descr="Контекстная диаграмма A-0" title="Контекстная диаграмма A-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5.1 – Контекстная диаграмма A-0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Диаграмма A0 (рис. 5.2) содержит 4 блока: A1 «Вести каталог фильмов», A2 «Составить расписание сеансов», A3 «Продать билет», A4 «Сформировать отчётность»; выход A3 «Заполняемость залов» — обратная связь по управлению в A2.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3743325"/>
            <wp:effectExtent t="0" r="0" b="0" l="0"/>
            <wp:docPr id="1" name="l5_A0.png" descr="Диаграмма декомпозиции A0" title="Диаграмма декомпозиции 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5.2 – Диаграмма декомпозиции A0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 A3 детализирован на 4 блока (рис. 5.3): A31 «Выбрать сеанс и места», A32 «Забронировать места», A33 «Принять оплату», A34 «Выдать билет»; граничные дуги соответствуют родительскому блоку.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3743325"/>
            <wp:effectExtent t="0" r="0" b="0" l="0"/>
            <wp:docPr id="1" name="l5_A3.png" descr="Декомпозиция блока A3 «Продать билет»" title="Декомпозиция блока A3 «Продать бил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5.3 – Декомпозиция блока A3 «Продать билет»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3810000" cy="2143125"/>
            <wp:effectExtent t="0" r="0" b="0" l="0"/>
            <wp:docPr id="1" name="l5_dia.png" descr="Построение диаграммы A0 в Dia" title="Построение диаграммы A0 в 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5.4 – Построение диаграммы A0 в Dia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 чем заключается метод моделирования SADT?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Система описывается иерархией диаграмм: функции — блоки, интерфейсы — дуги (вход слева, управление сверху, выход справа, механизм снизу); блок A-0 последовательно декомпозируется на 3–6 подфункций.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Какие правила именования объектов определены для диаграмм SADT?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Блоки — глаголами, дуги — существительными; имена уникальны; блоки нумеруются по номеру диаграммы (A3 → A31, A32).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Какие возможные типы связей определены для диаграмм SADT?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Случайная, логическая, временная, процедурная, коммуникационная, последовательная, функциональная.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Какие типы располагаются на диаграммах SADT?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Блоки и дуги: входы, управления, выходы, механизмы.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Какой вид имеет условие для простейшего типа функциональной связи?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 = g(B) = g(f(A)).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Построена модель IDEF0: диаграммы A-0, A0 (4 блока) и детализация блока A3 (4 блока).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6. Построение процессной модели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Получить навыки построения процессной модели.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Dia построена модель IDEF3 процесса покупки билета (рис. 6.1): 1 «Выбрать фильм и сеанс» → 2 «Выбрать места» → 3 «Забронировать места» → перекрёсток J1 (X) — UOW 4 «Оплатить онлайн» или 5 «Оплатить в кассе» → J2 (X) → J3 (&amp;) — параллельно 6 «Сформировать эл. билет» → 8 «Отправить на e-mail» и 7 «Изменить статус билета» → J4 (&amp;) → 9 «Зафиксировать продажу».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3743325"/>
            <wp:effectExtent t="0" r="0" b="0" l="0"/>
            <wp:docPr id="1" name="l6_top.png" descr="Диаграмма IDEF3 «Покупка билета»" title="Диаграмма IDEF3 «Покупка билет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6.1 – Диаграмма IDEF3 «Покупка билета»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UOW 4 детализирован (рис. 6.2): 4.1 «Ввести данные карты» → 4.2 «Запрос в платёжный шлюз» → J5 (X) — 4.3 «Подтвердить оплату» или 4.4 «Снять бронь» → J6 (X).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762500" cy="3343275"/>
            <wp:effectExtent t="0" r="0" b="0" l="0"/>
            <wp:docPr id="1" name="l6_uow4.png" descr="Декомпозиция UOW 4 «Оплатить онлайн»" title="Декомпозиция UOW 4 «Оплатить онлайн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6.2 – Декомпозиция UOW 4 «Оплатить онлайн»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3143250" cy="1771650"/>
            <wp:effectExtent t="0" r="0" b="0" l="0"/>
            <wp:docPr id="1" name="l6_dia.png" descr="Построение диаграммы IDEF3 в Dia" title="Построение диаграммы IDEF3 в 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6.3 – Построение диаграммы IDEF3 в Dia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 чем заключается метод моделирования IDEF3?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описании сценария процесса — последовательности действий и их взаимозависимостей; часто детализирует блоки IDEF0.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Что является основной единицей модели IDEF3?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Диаграмма; её основной компонент — единица работы (UOW).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Какие правила именования объектов определены для диаграмм IDEF3?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Действия — глаголами; уникальный номер, не используемый повторно; в декомпозиции номер предваряется номером родителя (4.1).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Какие возможные типы связей определены для диаграмм IDEF3?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Временное предшествование, объектный поток, нечёткое отношение.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Какие типы соединений определены для диаграмм IDEF3?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«И» (&amp;), «исключающее ИЛИ» (X), «ИЛИ» (O); разворачивающие и сворачивающие, синхронные и асинхронные.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Построена модель IDEF3 покупки билета (9 действий, 4 перекрёстка) и детализация онлайн-оплаты (4 действия).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7. Построение модели потоков данных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методологию DFD и применить её для моделирования предметной области программной системы.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построена в Dia в нотации Гейна–Сарсона. Внешние сущности: E1 Администратор, E2 Клиент, E3 Платёжный шлюз. Контекстная диаграмма (рис. 7.1) показывает систему одним процессом.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572000" cy="3209925"/>
            <wp:effectExtent t="0" r="0" b="0" l="0"/>
            <wp:docPr id="1" name="l7_ctx.png" descr="Контекстная диаграмма DFD" title="Контекстная диаграмма D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7.1 – Контекстная диаграмма DFD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Диаграмма первого уровня (рис. 7.2) содержит процессы: 1 «Вести каталог фильмов», 2 «Планировать сеансы», 3 «Предоставить расписание», 4 «Оформить билет», 5 «Сформировать отчёты» и накопители D1–D5 (фильмы, залы и места, сеансы, клиенты, билеты).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667250" cy="3276600"/>
            <wp:effectExtent t="0" r="0" b="0" l="0"/>
            <wp:docPr id="1" name="l7_A0.png" descr="Диаграмма первого уровня" title="Диаграмма первого уров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7.2 – Диаграмма первого уровня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Процесс 4 детализирован на 4.1–4.5: проверить доступность мест, зарегистрировать клиента, забронировать места, провести оплату, выдать электронный билет (рис. 7.3).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095750" cy="2867025"/>
            <wp:effectExtent t="0" r="0" b="0" l="0"/>
            <wp:docPr id="1" name="l7_A4.png" descr="Диаграмма второго уровня: процесс 4 «Оформить билет»" title="Диаграмма второго уровня: процесс 4 «Оформить бил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7.3 – Диаграмма второго уровня: процесс 4 «Оформить билет»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2762250" cy="1552575"/>
            <wp:effectExtent t="0" r="0" b="0" l="0"/>
            <wp:docPr id="1" name="l7_dia.png" descr="Построение DFD в Dia (палитра Gane and Sarson)" title="Построение DFD в Dia (палитра Gane and Sars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7.4 – Построение DFD в Dia (палитра Gane and Sarson)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Перечислите основные элементы окна Process Modeler.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Меню, панель инструментов, палитра, Model Explorer, рабочая область, строка состояния.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Какие методологии поддерживаются в Process Modeler?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IDEF0, IDEF3, DFD.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Какие вкладки имеет навигатор Model Explorer?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Activities, Diagrams, Objects.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Перечислите основные элементы модели потоков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Внешние сущности, процессы, накопители данных, потоки данных.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Какая нотация используется для построения модели потоков данных?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Нотация Гейна–Сарсона.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Перечислите основные положения стандарта DFD.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Система — иерархия диаграмм потоков данных; внешние сущности порождают потоки, процессы их преобразуют, накопители хранят; декомпозиция до элементарных процессов.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Какую роль играют в модели цель и точка зрения?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определяет, что должна описывать модель и когда остановить декомпозицию; точка зрения задаёт единую позицию построения модели.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Какое количество блоков должно присутствовать на диаграмме?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 3 до 6.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По какому принципу выполняется декомпозиция процессов?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Каждый процесс детализируется своей диаграммой с номерами вида A3 → A31, A32; потоки родителя становятся граничными.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Сформулируйте правила именования процессов и потоков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Процесс — глагол в неопределённой форме + существительное («Оформить билет»); поток — существительное («Данные клиента»).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Какие стрелки называют граничными?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Начинающиеся или заканчивающиеся у границы диаграммы.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Каково назначение разветвляющихся и сливающихся стрелок?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Показать использование одного потока несколькими процессами или объединение одинаковых потоков.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Построена модель DFD ИС «Cinema App»: контекстная диаграмма, уровень 1 (5 процессов, 5 накопителей) и уровень 2 для процесса «Оформить билет».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8. Проектирование архитектуры программного комплекса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принципы и шаблоны построения архитектуры приложений и выполнить визуальное проектирование архитектуры.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Особенности системы и выбор архитектуры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Тип приложения — веб-приложение: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доступ из браузера без установки, простое обновление на сервере, актуальные данные о местах в реальном времени.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Стиль — трёхуровневая клиент-серверная архитектура: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браузер → сервер приложений (Nginx, Gunicorn, Django) → СУБД PostgreSQL.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Внутри сервера — шаблон MVT: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модели ORM (</w:t>
      </w:r>
      <w:r>
        <w:rPr>
          <w:rFonts w:ascii="Courier New" w:cs="Courier New" w:eastAsia="Courier New" w:hAnsi="Courier New"/>
          <w:sz w:val="24"/>
          <w:szCs w:val="24"/>
        </w:rPr>
        <w:t xml:space="preserve">main/models.py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представления, шаблоны и слой сервисов (бронирование, оплата, отправка билета); соблюдаются разделение функций и единственная ответственность.</w:t>
      </w:r>
    </w:p>
    <w:p>
      <w:pPr>
        <w:pStyle w:val="ListParagraph"/>
        <w:numPr>
          <w:ilvl w:val="0"/>
          <w:numId w:val="2"/>
        </w:numPr>
        <w:spacing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Внешние сервисы: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платёжный шлюз (REST API) и SMTP подключаются через слой сервисов.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Визуальное проектирование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Архитектура спроектирована в Dia (аналог Visio), рис. 8.1. Запросы клиентов по HTTPS принимает Nginx (он же отдаёт статику), передаёт в Gunicorn и Django; URL-диспетчер вызывает представления, те — сервисы, работающие с моделями ORM; данные хранятся в PostgreSQL.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4248150"/>
            <wp:effectExtent t="0" r="0" b="0" l="0"/>
            <wp:docPr id="1" name="l8_arch.png" descr="Архитектура программного комплекса «Cinema App»" title="Архитектура программного комплекса «Cinema App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8.1 – Архитектура программного комплекса «Cinema App»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3238500" cy="1819275"/>
            <wp:effectExtent t="0" r="0" b="0" l="0"/>
            <wp:docPr id="1" name="l8_dia.png" descr="Проектирование архитектуры в Dia" title="Проектирование архитектуры в 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8.2 – Проектирование архитектуры в Dia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Что подразумевается под созданием архитектуры приложения?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Формирование структурированного решения, отвечающего техническим и операционным требованиям при оптимальных атрибутах качества.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Каково основное назначение архитектуры приложения?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Описание использования и взаимодействия основных элементов и компонентов приложения.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Перечислите основные принципы разработки архитектуры ПО.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Разделение функций, единственная ответственность, минимальное знание, DRY, минимизация проектирования наперёд.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Перечислите основные типовые архитектурные стили.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Клиент/сервер, компонентная, на основе предметной области, многослойная, шина сообщений, N-уровневая, объектно-ориентированная, SOA.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Перечислите основные архетипы приложений.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Мобильные, насыщенные клиентские, RIA, сервисные, веб-приложения.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Перечислите элементы для построения архитектуры ПО.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Процесс, объект, компонент, база данных, сервер, линия связи (шаблоны Visio «Программы и базы данных», «Сеть»).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ИС «Cinema App» обоснована трёхуровневая архитектура веб-приложения с шаблоном MVT и выполнено её визуальное проектирование.</w:t>
      </w:r>
    </w:p>
    <w:p>
      <w:pPr>
        <w:pStyle w:val="Heading1"/>
        <w:pageBreakBefore/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№ 9. UML. Диаграмма классов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Применить диаграмму классов для описания структуры решения, ознакомиться с инструментами её построения.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Umbrello (аналог StarUML) выполнен импорт кода </w:t>
      </w:r>
      <w:r>
        <w:rPr>
          <w:rFonts w:ascii="Courier New" w:cs="Courier New" w:eastAsia="Courier New" w:hAnsi="Courier New"/>
          <w:sz w:val="24"/>
          <w:szCs w:val="24"/>
        </w:rPr>
        <w:t xml:space="preserve">main/models.py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классы проекта появились в Logical View (рис. 9.1). Итоговая диаграмма построена в PlantUML (рис. 9.2).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4476750" cy="2514600"/>
            <wp:effectExtent t="0" r="0" b="0" l="0"/>
            <wp:docPr id="1" name="l9_umbrello.png" descr="Классы, импортированные из main/models.py в Umbrello" title="Классы, импортированные из main/models.py в Umbr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9.1 – Классы, импортированные из main/models.py в Umbrello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334000" cy="4114800"/>
            <wp:effectExtent t="0" r="0" b="0" l="0"/>
            <wp:docPr id="1" name="l9_classes.png" descr="Диаграмма классов ИС «Cinema App»" title="Диаграмма классов ИС «Cinema App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9.2 – Диаграмма классов ИС «Cinema App»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Отношения: обобщение (Film, Session, Customer наследуют TimestampMixin); композиция Hall — Seat; ассоциации с кратностями (Film 0..* — 1..* Genre, Session 1 — 0..* Ticket, Customer 0..1 — 0..* Ticket и др.); зависимости от перечислений AgeRating и SessionStatus.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на контрольные вопросы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Что называют визуальным моделированием?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Представление системы графическими моделями на стандартном языке (UML).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Что такое модель?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Упрощённое представление системы, отражающее существенные для цели свойства.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Перечислите основные диаграммы UML.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Классов, объектов, компонентов, развёртывания, вариантов использования, последовательности, кооперации, состояний, деятельности.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Что такое StarUML?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CASE-средство UML-моделирования с генерацией кода и обратным проектированием.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Для чего применяются диаграммы классов?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описания статической структуры системы: классов, атрибутов, операций и отношений.</w:t>
      </w:r>
    </w:p>
    <w:p>
      <w:pPr>
        <w:keepNext/>
        <w:spacing w:before="6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Перечислите основные компоненты диаграммы классов.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Классы, интерфейсы, перечисления, пакеты; отношения: ассоциация, агрегация, композиция, обобщение, зависимость, реализация; кратности и роли.</w:t>
      </w:r>
    </w:p>
    <w:p>
      <w:pPr>
        <w:pStyle w:val="Heading2"/>
        <w:keepNext/>
        <w:spacing w:after="60" w:before="160" w:line="276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Построена диаграмма классов ИС «Cinema App» (9 классов, 2 перечисления), соответствующая коду проекта.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9" w:hanging="360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055a896786862bb1babb4eebe9b65841ab68df1.png"/><Relationship Id="rId10" Type="http://schemas.openxmlformats.org/officeDocument/2006/relationships/image" Target="media/a7c45caf63c17633342bde8fa2a1edef98541d01.png"/><Relationship Id="rId11" Type="http://schemas.openxmlformats.org/officeDocument/2006/relationships/image" Target="media/6318ecb0aadf48900a359f9d8140ed23b7917eec.png"/><Relationship Id="rId12" Type="http://schemas.openxmlformats.org/officeDocument/2006/relationships/image" Target="media/e45463491129dfa89d658a7ba530119d9c5b1d03.png"/><Relationship Id="rId13" Type="http://schemas.openxmlformats.org/officeDocument/2006/relationships/image" Target="media/4c3d44f999976b33ac0b9fc8cb8a2f9f166c02f2.png"/><Relationship Id="rId14" Type="http://schemas.openxmlformats.org/officeDocument/2006/relationships/image" Target="media/354a18510b972da116a743bf8338cd41178189f5.png"/><Relationship Id="rId15" Type="http://schemas.openxmlformats.org/officeDocument/2006/relationships/image" Target="media/bc5f898df091d1c03a1072bdfea845d1e910af6b.png"/><Relationship Id="rId16" Type="http://schemas.openxmlformats.org/officeDocument/2006/relationships/image" Target="media/cb16a0a3c12d33d58f2dddb053ca531767c4ee77.png"/><Relationship Id="rId17" Type="http://schemas.openxmlformats.org/officeDocument/2006/relationships/image" Target="media/8185cd81bf967da5cf079ccea1649800c944afad.png"/><Relationship Id="rId18" Type="http://schemas.openxmlformats.org/officeDocument/2006/relationships/image" Target="media/3401f2a38d6d53643d49a6457988f66c344545af.png"/><Relationship Id="rId19" Type="http://schemas.openxmlformats.org/officeDocument/2006/relationships/image" Target="media/29e6fff9d8266312fb02830db6ac2627a8584155.png"/><Relationship Id="rId20" Type="http://schemas.openxmlformats.org/officeDocument/2006/relationships/image" Target="media/4c66085d0d231c7d5a00d1d544fc01ab00783bfd.png"/><Relationship Id="rId21" Type="http://schemas.openxmlformats.org/officeDocument/2006/relationships/image" Target="media/a2939c8c9df6ee08a85dd0660ca96ae40400c744.png"/><Relationship Id="rId22" Type="http://schemas.openxmlformats.org/officeDocument/2006/relationships/image" Target="media/564aa182e21c6a874969608cb22d0714293efba7.png"/><Relationship Id="rId23" Type="http://schemas.openxmlformats.org/officeDocument/2006/relationships/image" Target="media/bb004560ad71c33ed2da0eec118c144ce15cdfdf.png"/><Relationship Id="rId24" Type="http://schemas.openxmlformats.org/officeDocument/2006/relationships/image" Target="media/d127dfcde08bb45d695071f92d4febb341886354.png"/><Relationship Id="rId25" Type="http://schemas.openxmlformats.org/officeDocument/2006/relationships/image" Target="media/a8300a7280520b8ef7813fb7f819ea5ec3171efe.png"/><Relationship Id="rId26" Type="http://schemas.openxmlformats.org/officeDocument/2006/relationships/image" Target="media/a38f9795b1e6b6cfd93a245b7f26cc3d7522d7c2.png"/><Relationship Id="rId27" Type="http://schemas.openxmlformats.org/officeDocument/2006/relationships/image" Target="media/5717a41f124fcee822105a4c9a95569484b6e134.png"/><Relationship Id="rId28" Type="http://schemas.openxmlformats.org/officeDocument/2006/relationships/image" Target="media/e3484184d83c1aa584511e6314f7d2f7785403c3.png"/><Relationship Id="rId29" Type="http://schemas.openxmlformats.org/officeDocument/2006/relationships/image" Target="media/d2dea2793b0dd2d8d5b8bbe23d6f3b0eddbdc297.png"/><Relationship Id="rId30" Type="http://schemas.openxmlformats.org/officeDocument/2006/relationships/image" Target="media/3f3ddb269f75a7c803ebc3dbc80d0a7a8244e32f.png"/><Relationship Id="rId31" Type="http://schemas.openxmlformats.org/officeDocument/2006/relationships/image" Target="media/dc078855ac6c7847a5f3b0f1d644adbd0e3f6988.png"/><Relationship Id="rId32" Type="http://schemas.openxmlformats.org/officeDocument/2006/relationships/image" Target="media/a6369f0f5ec914b98634081c22b65a2f6746af8a.png"/><Relationship Id="rId33" Type="http://schemas.openxmlformats.org/officeDocument/2006/relationships/image" Target="media/e34c8d9cdb0e6a4c8d397bd18659b83884f7036e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лабораторным работам № 1–9 — Cinema App</dc:title>
  <dc:creator>student</dc:creator>
  <cp:lastModifiedBy>Un-named</cp:lastModifiedBy>
  <cp:revision>1</cp:revision>
  <dcterms:created xsi:type="dcterms:W3CDTF">2026-10-12T05:57:23.890Z</dcterms:created>
  <dcterms:modified xsi:type="dcterms:W3CDTF">2026-10-12T05:57:23.891Z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