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spacing w:before="0" w:after="140"/>
        <w:jc w:val="both"/>
        <w:rPr>
          <w:rFonts w:ascii="Liberation Sans" w:hAnsi="Liberation Sans"/>
        </w:rPr>
      </w:pPr>
      <w:r>
        <w:rPr>
          <w:rFonts w:ascii="Liberation Sans" w:hAnsi="Liberation Sans"/>
        </w:rPr>
      </w:r>
    </w:p>
    <w:sectPr>
      <w:headerReference w:type="default" r:id="rId8"/>
      <w:footerReference w:type="default" r:id="rId9"/>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2962</TotalTime>
  <Application>LibreOffice/6.0.7.3$Linux_X86_64 LibreOffice_project/00m0$Build-3</Application>
  <Pages>6</Pages>
  <Words>936</Words>
  <Characters>4427</Characters>
  <CharactersWithSpaces>5364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2020-05-13T03:51:47Z</dcterms:modified>
  <cp:revision>57</cp:revision>
  <dc:subject/>
  <dc:title/>
</cp:coreProperties>
</file>