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way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one very possible reason for the bad reviews can be the bad conditions in the apartments. Low conditioned bathroom, bad air conditioning system are two most common failures in the apartments. The surrounding also matters to the customer when they are going to rent out a place for living. If the neighborhood is not that safer and calmer as the customers expected then the bad review effect can happen and the organization should think about the surrounding before they invest on the properties.</w:t>
      </w:r>
    </w:p>
    <w:p>
      <w:pPr>
        <w:pStyle w:val="TextBody"/>
        <w:jc w:val="both"/>
        <w:rPr>
          <w:rFonts w:ascii="Liberation Sans" w:hAnsi="Liberation Sans"/>
        </w:rPr>
      </w:pPr>
      <w:r>
        <w:rPr>
          <w:rFonts w:ascii="Liberation Sans" w:hAnsi="Liberation Sans"/>
        </w:rPr>
        <w:tab/>
      </w:r>
      <w:r>
        <w:rPr>
          <w:rFonts w:ascii="Liberation Sans" w:hAnsi="Liberation Sans"/>
        </w:rPr>
        <w:t xml:space="preserve">Understanding the situations and provide solution at the proper pot will save the organization from making losses. So ensure that company should focus on the marketing campaign and the review management mechanism more the less. </w:t>
      </w:r>
    </w:p>
    <w:p>
      <w:pPr>
        <w:pStyle w:val="TextBody"/>
        <w:jc w:val="both"/>
        <w:rPr>
          <w:rFonts w:ascii="Liberation Sans" w:hAnsi="Liberation Sans"/>
        </w:rPr>
      </w:pPr>
      <w:r>
        <w:rPr>
          <w:rFonts w:ascii="Liberation Sans" w:hAnsi="Liberation Sans"/>
        </w:rPr>
        <w:tab/>
      </w:r>
      <w:r>
        <w:rPr>
          <w:rFonts w:ascii="Liberation Sans" w:hAnsi="Liberation Sans"/>
        </w:rPr>
        <w:t xml:space="preserve">Talking about solutions company should consider the future market behaviour as well. There might be some significant scenarios that could be a effect on the business and company should forecast the statistical values and take the appropriate management decision at the appropriate movements. So that when the organization considering the solutions for these issues they should the consider the upcoming situations as well. </w:t>
      </w:r>
    </w:p>
    <w:p>
      <w:pPr>
        <w:pStyle w:val="Heading1"/>
        <w:numPr>
          <w:ilvl w:val="0"/>
          <w:numId w:val="1"/>
        </w:numPr>
        <w:rPr/>
      </w:pPr>
      <w:r>
        <w:rPr/>
      </w:r>
    </w:p>
    <w:p>
      <w:pPr>
        <w:pStyle w:val="Heading1"/>
        <w:numPr>
          <w:ilvl w:val="0"/>
          <w:numId w:val="1"/>
        </w:numPr>
        <w:rPr/>
      </w:pPr>
      <w:r>
        <w:rPr/>
        <w:t>4.0 Conclusion</w:t>
      </w:r>
    </w:p>
    <w:p>
      <w:pPr>
        <w:pStyle w:val="TextBody"/>
        <w:jc w:val="both"/>
        <w:rPr>
          <w:rFonts w:ascii="Liberation Sans" w:hAnsi="Liberation Sans"/>
        </w:rPr>
      </w:pPr>
      <w:r>
        <w:rPr>
          <w:rFonts w:ascii="Liberation Sans" w:hAnsi="Liberation Sans"/>
        </w:rPr>
        <w:tab/>
      </w:r>
      <w:r>
        <w:rPr>
          <w:rFonts w:ascii="Liberation Sans" w:hAnsi="Liberation Sans"/>
        </w:rPr>
        <w:t xml:space="preserve">Considering all the factors and features in the given data set of the organization statistically real state business has a good rate of success and the profitability ratio of the organization also got to a good high point. This data set interprets a good variation between the variables and that variation makes the business more interesting and important  at the same time. If the company manages to keep them out of the issues then they can make a positive impact on the market. </w:t>
      </w:r>
    </w:p>
    <w:p>
      <w:pPr>
        <w:pStyle w:val="TextBody"/>
        <w:jc w:val="both"/>
        <w:rPr>
          <w:rFonts w:ascii="Liberation Sans" w:hAnsi="Liberation Sans"/>
        </w:rPr>
      </w:pPr>
      <w:r>
        <w:rPr>
          <w:rFonts w:ascii="Liberation Sans" w:hAnsi="Liberation Sans"/>
        </w:rPr>
        <w:tab/>
      </w:r>
      <w:r>
        <w:rPr>
          <w:rFonts w:ascii="Liberation Sans" w:hAnsi="Liberation Sans"/>
        </w:rPr>
        <w:t xml:space="preserve">In future they have to forecast the statistics according to the variable behavior and there are some extraordinary movements In the data set. Organization should consider those data sets and make sure these kinds of data will not make any trouble in the reasonable future. </w:t>
      </w:r>
    </w:p>
    <w:p>
      <w:pPr>
        <w:pStyle w:val="TextBody"/>
        <w:spacing w:before="0" w:after="140"/>
        <w:jc w:val="both"/>
        <w:rPr>
          <w:rFonts w:ascii="Liberation Sans" w:hAnsi="Liberation Sans"/>
        </w:rPr>
      </w:pPr>
      <w:r>
        <w:rPr>
          <w:rFonts w:ascii="Liberation Sans" w:hAnsi="Liberation Sans"/>
        </w:rPr>
        <w:tab/>
      </w:r>
      <w:r>
        <w:rPr>
          <w:rFonts w:ascii="Liberation Sans" w:hAnsi="Liberation Sans"/>
        </w:rPr>
        <w:t xml:space="preserve">The next big thing in the forecasting is the factors. There are seasonal factors, circular factors and so on. Therefor organization should consider the behavior of the factors in the future forecasting. </w:t>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3082</TotalTime>
  <Application>LibreOffice/6.0.7.3$Linux_X86_64 LibreOffice_project/00m0$Build-3</Application>
  <Pages>8</Pages>
  <Words>1705</Words>
  <Characters>8246</Characters>
  <CharactersWithSpaces>9960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2020-05-13T05:52:12Z</dcterms:modified>
  <cp:revision>84</cp:revision>
  <dc:subject/>
  <dc:title/>
</cp:coreProperties>
</file>