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rFonts w:ascii="Liberation Sans" w:hAnsi="Liberation Sans"/>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Heading2"/>
        <w:numPr>
          <w:ilvl w:val="1"/>
          <w:numId w:val="1"/>
        </w:numPr>
        <w:rPr/>
      </w:pPr>
      <w:r>
        <w:rPr/>
        <w:t>2.3 Histogram</w:t>
      </w:r>
    </w:p>
    <w:p>
      <w:pPr>
        <w:pStyle w:val="TextBody"/>
        <w:spacing w:before="0" w:after="140"/>
        <w:rPr>
          <w:rFonts w:ascii="Liberation Sans" w:hAnsi="Liberation Sans"/>
        </w:rPr>
      </w:pPr>
      <w:r>
        <w:rPr>
          <w:rFonts w:ascii="Liberation Sans" w:hAnsi="Liberation Sans"/>
        </w:rPr>
        <w:tab/>
      </w:r>
      <w:r>
        <w:rPr>
          <w:rFonts w:ascii="Liberation Sans" w:hAnsi="Liberation Sans"/>
        </w:rPr>
        <w:t xml:space="preserve">Histogram is a really good method of data visualization and in this scenario we have used several data columns for the representation purpose. </w:t>
      </w:r>
    </w:p>
    <w:sectPr>
      <w:headerReference w:type="default" r:id="rId5"/>
      <w:footerReference w:type="default" r:id="rId6"/>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2277</TotalTime>
  <Application>LibreOffice/6.0.7.3$Linux_X86_64 LibreOffice_project/00m0$Build-3</Application>
  <Pages>3</Pages>
  <Words>503</Words>
  <Characters>2409</Characters>
  <CharactersWithSpaces>2914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2020-05-12T16:27:10Z</dcterms:modified>
  <cp:revision>38</cp:revision>
  <dc:subject/>
  <dc:title/>
</cp:coreProperties>
</file>