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sz w:val="44"/>
          <w:szCs w:val="44"/>
        </w:rPr>
        <w:t xml:space="preserve">Business Insights Report</w:t>
      </w:r>
    </w:p>
    <w:p>
      <w:pPr>
        <w:spacing w:after="40" w:before="0"/>
      </w:pPr>
      <w:r>
        <w:rPr>
          <w:rFonts w:ascii="Calibri" w:cs="Calibri" w:eastAsia="Calibri" w:hAnsi="Calibri"/>
          <w:color w:val="555555"/>
          <w:sz w:val="26"/>
          <w:szCs w:val="26"/>
        </w:rPr>
        <w:t xml:space="preserve">Sales Data Analysis — Superstore Dataset</w:t>
      </w:r>
    </w:p>
    <w:p>
      <w:pPr>
        <w:spacing w:after="40" w:before="0"/>
      </w:pPr>
      <w:r>
        <w:rPr>
          <w:rFonts w:ascii="Calibri" w:cs="Calibri" w:eastAsia="Calibri" w:hAnsi="Calibri"/>
          <w:color w:val="888888"/>
          <w:sz w:val="20"/>
          <w:szCs w:val="20"/>
        </w:rPr>
        <w:t xml:space="preserve">Synent Technologies | Data Science Internship | Task 5</w:t>
      </w:r>
    </w:p>
    <w:p>
      <w:pPr>
        <w:pBdr>
          <w:bottom w:val="single" w:color="2E74B5" w:sz="6" w:space="6"/>
        </w:pBdr>
        <w:spacing w:after="200" w:before="0"/>
      </w:pPr>
      <w:r>
        <w:rPr>
          <w:rFonts w:ascii="Calibri" w:cs="Calibri" w:eastAsia="Calibri" w:hAnsi="Calibri"/>
          <w:color w:val="888888"/>
          <w:sz w:val="20"/>
          <w:szCs w:val="20"/>
        </w:rPr>
        <w:t xml:space="preserve">Prepared by: Pulkit Mehrotra  |  May 2025</w:t>
      </w:r>
    </w:p>
    <w:p>
      <w:pPr>
        <w:spacing w:after="0" w:before="200"/>
      </w:pPr>
      <w:r>
        <w:t xml:space="preserve"/>
      </w:r>
    </w:p>
    <w:p>
      <w:pPr>
        <w:pBdr>
          <w:bottom w:val="single" w:color="2E74B5" w:sz="4" w:space="4"/>
        </w:pBdr>
        <w:spacing w:after="160" w:before="320"/>
      </w:pPr>
      <w:r>
        <w:rPr>
          <w:rFonts w:ascii="Calibri" w:cs="Calibri" w:eastAsia="Calibri" w:hAnsi="Calibri"/>
          <w:b/>
          <w:bCs/>
          <w:sz w:val="30"/>
          <w:szCs w:val="30"/>
        </w:rPr>
        <w:t xml:space="preserve">1. Objective</w:t>
      </w:r>
    </w:p>
    <w:p>
      <w:pPr>
        <w:spacing w:after="60" w:before="60"/>
        <w:jc w:val="both"/>
      </w:pPr>
      <w:r>
        <w:rPr>
          <w:rFonts w:ascii="Calibri" w:cs="Calibri" w:eastAsia="Calibri" w:hAnsi="Calibri"/>
          <w:sz w:val="22"/>
          <w:szCs w:val="22"/>
        </w:rPr>
        <w:t xml:space="preserve">The objective of this analysis is to study sales and profit trends across product categories, regions, and customer segments using the Superstore Sales Dataset. The dataset covers four years of retail transactions (2014–2017) from a US-based superstore. The goal is to identify key business patterns and provide actionable recommendations to improve profitability.</w:t>
      </w:r>
    </w:p>
    <w:p>
      <w:pPr>
        <w:spacing w:after="0" w:before="120"/>
      </w:pPr>
      <w:r>
        <w:t xml:space="preserve"/>
      </w:r>
    </w:p>
    <w:p>
      <w:pPr>
        <w:pBdr>
          <w:bottom w:val="single" w:color="2E74B5" w:sz="4" w:space="4"/>
        </w:pBdr>
        <w:spacing w:after="160" w:before="320"/>
      </w:pPr>
      <w:r>
        <w:rPr>
          <w:rFonts w:ascii="Calibri" w:cs="Calibri" w:eastAsia="Calibri" w:hAnsi="Calibri"/>
          <w:b/>
          <w:bCs/>
          <w:sz w:val="30"/>
          <w:szCs w:val="30"/>
        </w:rPr>
        <w:t xml:space="preserve">2. Dataset Overview</w:t>
      </w:r>
    </w:p>
    <w:p>
      <w:pPr>
        <w:spacing w:after="60" w:before="60"/>
        <w:jc w:val="both"/>
      </w:pPr>
      <w:r>
        <w:rPr>
          <w:rFonts w:ascii="Calibri" w:cs="Calibri" w:eastAsia="Calibri" w:hAnsi="Calibri"/>
          <w:sz w:val="22"/>
          <w:szCs w:val="22"/>
        </w:rPr>
        <w:t xml:space="preserve">Dataset: Superstore Sales Dataset (source: Kaggle)</w:t>
      </w:r>
    </w:p>
    <w:p>
      <w:pPr>
        <w:spacing w:after="60" w:before="60"/>
        <w:jc w:val="both"/>
      </w:pPr>
      <w:r>
        <w:rPr>
          <w:rFonts w:ascii="Calibri" w:cs="Calibri" w:eastAsia="Calibri" w:hAnsi="Calibri"/>
          <w:sz w:val="22"/>
          <w:szCs w:val="22"/>
        </w:rPr>
        <w:t xml:space="preserve">The dataset contains the following key fields:</w:t>
      </w:r>
    </w:p>
    <w:p>
      <w:pPr>
        <w:pStyle w:val="ListParagraph"/>
        <w:numPr>
          <w:ilvl w:val="0"/>
          <w:numId w:val="2"/>
        </w:numPr>
        <w:spacing w:after="40" w:before="40"/>
      </w:pPr>
      <w:r>
        <w:rPr>
          <w:rFonts w:ascii="Calibri" w:cs="Calibri" w:eastAsia="Calibri" w:hAnsi="Calibri"/>
          <w:sz w:val="22"/>
          <w:szCs w:val="22"/>
        </w:rPr>
        <w:t xml:space="preserve">Order details: Order ID, Order Date, Ship Date, Ship Mode</w:t>
      </w:r>
    </w:p>
    <w:p>
      <w:pPr>
        <w:pStyle w:val="ListParagraph"/>
        <w:numPr>
          <w:ilvl w:val="0"/>
          <w:numId w:val="2"/>
        </w:numPr>
        <w:spacing w:after="40" w:before="40"/>
      </w:pPr>
      <w:r>
        <w:rPr>
          <w:rFonts w:ascii="Calibri" w:cs="Calibri" w:eastAsia="Calibri" w:hAnsi="Calibri"/>
          <w:sz w:val="22"/>
          <w:szCs w:val="22"/>
        </w:rPr>
        <w:t xml:space="preserve">Customer details: Customer Name, Segment (Consumer / Corporate / Home Office)</w:t>
      </w:r>
    </w:p>
    <w:p>
      <w:pPr>
        <w:pStyle w:val="ListParagraph"/>
        <w:numPr>
          <w:ilvl w:val="0"/>
          <w:numId w:val="2"/>
        </w:numPr>
        <w:spacing w:after="40" w:before="40"/>
      </w:pPr>
      <w:r>
        <w:rPr>
          <w:rFonts w:ascii="Calibri" w:cs="Calibri" w:eastAsia="Calibri" w:hAnsi="Calibri"/>
          <w:sz w:val="22"/>
          <w:szCs w:val="22"/>
        </w:rPr>
        <w:t xml:space="preserve">Geography: City, State, Region</w:t>
      </w:r>
    </w:p>
    <w:p>
      <w:pPr>
        <w:pStyle w:val="ListParagraph"/>
        <w:numPr>
          <w:ilvl w:val="0"/>
          <w:numId w:val="2"/>
        </w:numPr>
        <w:spacing w:after="40" w:before="40"/>
      </w:pPr>
      <w:r>
        <w:rPr>
          <w:rFonts w:ascii="Calibri" w:cs="Calibri" w:eastAsia="Calibri" w:hAnsi="Calibri"/>
          <w:sz w:val="22"/>
          <w:szCs w:val="22"/>
        </w:rPr>
        <w:t xml:space="preserve">Product details: Category, Sub-Category, Product Name</w:t>
      </w:r>
    </w:p>
    <w:p>
      <w:pPr>
        <w:pStyle w:val="ListParagraph"/>
        <w:numPr>
          <w:ilvl w:val="0"/>
          <w:numId w:val="2"/>
        </w:numPr>
        <w:spacing w:after="40" w:before="40"/>
      </w:pPr>
      <w:r>
        <w:rPr>
          <w:rFonts w:ascii="Calibri" w:cs="Calibri" w:eastAsia="Calibri" w:hAnsi="Calibri"/>
          <w:sz w:val="22"/>
          <w:szCs w:val="22"/>
        </w:rPr>
        <w:t xml:space="preserve">Financials: Sales, Quantity, Discount, Profit</w:t>
      </w:r>
    </w:p>
    <w:p>
      <w:pPr>
        <w:spacing w:after="0" w:before="120"/>
      </w:pPr>
      <w:r>
        <w:t xml:space="preserve"/>
      </w:r>
    </w:p>
    <w:p>
      <w:pPr>
        <w:pBdr>
          <w:bottom w:val="single" w:color="2E74B5" w:sz="4" w:space="4"/>
        </w:pBdr>
        <w:spacing w:after="160" w:before="320"/>
      </w:pPr>
      <w:r>
        <w:rPr>
          <w:rFonts w:ascii="Calibri" w:cs="Calibri" w:eastAsia="Calibri" w:hAnsi="Calibri"/>
          <w:b/>
          <w:bCs/>
          <w:sz w:val="30"/>
          <w:szCs w:val="30"/>
        </w:rPr>
        <w:t xml:space="preserve">3. Tools and Libraries Used</w:t>
      </w:r>
    </w:p>
    <w:p>
      <w:pPr>
        <w:pStyle w:val="ListParagraph"/>
        <w:numPr>
          <w:ilvl w:val="0"/>
          <w:numId w:val="2"/>
        </w:numPr>
        <w:spacing w:after="40" w:before="40"/>
      </w:pPr>
      <w:r>
        <w:rPr>
          <w:rFonts w:ascii="Calibri" w:cs="Calibri" w:eastAsia="Calibri" w:hAnsi="Calibri"/>
          <w:sz w:val="22"/>
          <w:szCs w:val="22"/>
        </w:rPr>
        <w:t xml:space="preserve">Python (Pandas, NumPy) — data cleaning and analysis</w:t>
      </w:r>
    </w:p>
    <w:p>
      <w:pPr>
        <w:pStyle w:val="ListParagraph"/>
        <w:numPr>
          <w:ilvl w:val="0"/>
          <w:numId w:val="2"/>
        </w:numPr>
        <w:spacing w:after="40" w:before="40"/>
      </w:pPr>
      <w:r>
        <w:rPr>
          <w:rFonts w:ascii="Calibri" w:cs="Calibri" w:eastAsia="Calibri" w:hAnsi="Calibri"/>
          <w:sz w:val="22"/>
          <w:szCs w:val="22"/>
        </w:rPr>
        <w:t xml:space="preserve">Matplotlib and Seaborn — data visualization</w:t>
      </w:r>
    </w:p>
    <w:p>
      <w:pPr>
        <w:pStyle w:val="ListParagraph"/>
        <w:numPr>
          <w:ilvl w:val="0"/>
          <w:numId w:val="2"/>
        </w:numPr>
        <w:spacing w:after="40" w:before="40"/>
      </w:pPr>
      <w:r>
        <w:rPr>
          <w:rFonts w:ascii="Calibri" w:cs="Calibri" w:eastAsia="Calibri" w:hAnsi="Calibri"/>
          <w:sz w:val="22"/>
          <w:szCs w:val="22"/>
        </w:rPr>
        <w:t xml:space="preserve">Jupyter Notebook — development environment</w:t>
      </w:r>
    </w:p>
    <w:p>
      <w:pPr>
        <w:spacing w:after="0" w:before="120"/>
      </w:pPr>
      <w:r>
        <w:t xml:space="preserve"/>
      </w:r>
    </w:p>
    <w:p>
      <w:pPr>
        <w:pBdr>
          <w:bottom w:val="single" w:color="2E74B5" w:sz="4" w:space="4"/>
        </w:pBdr>
        <w:spacing w:after="160" w:before="320"/>
      </w:pPr>
      <w:r>
        <w:rPr>
          <w:rFonts w:ascii="Calibri" w:cs="Calibri" w:eastAsia="Calibri" w:hAnsi="Calibri"/>
          <w:b/>
          <w:bCs/>
          <w:sz w:val="30"/>
          <w:szCs w:val="30"/>
        </w:rPr>
        <w:t xml:space="preserve">4. Approach</w:t>
      </w:r>
    </w:p>
    <w:p>
      <w:pPr>
        <w:spacing w:after="60" w:before="60"/>
        <w:jc w:val="both"/>
      </w:pPr>
      <w:r>
        <w:rPr>
          <w:rFonts w:ascii="Calibri" w:cs="Calibri" w:eastAsia="Calibri" w:hAnsi="Calibri"/>
          <w:sz w:val="22"/>
          <w:szCs w:val="22"/>
        </w:rPr>
        <w:t xml:space="preserve">The analysis followed a standard data science workflow:</w:t>
      </w:r>
    </w:p>
    <w:p>
      <w:pPr>
        <w:pStyle w:val="ListParagraph"/>
        <w:numPr>
          <w:ilvl w:val="0"/>
          <w:numId w:val="2"/>
        </w:numPr>
        <w:spacing w:after="40" w:before="40"/>
      </w:pPr>
      <w:r>
        <w:rPr>
          <w:rFonts w:ascii="Calibri" w:cs="Calibri" w:eastAsia="Calibri" w:hAnsi="Calibri"/>
          <w:sz w:val="22"/>
          <w:szCs w:val="22"/>
        </w:rPr>
        <w:t xml:space="preserve">Step 1 — Data Cleaning: Parsed date columns, extracted Year and Month features, checked for null values and duplicates.</w:t>
      </w:r>
    </w:p>
    <w:p>
      <w:pPr>
        <w:pStyle w:val="ListParagraph"/>
        <w:numPr>
          <w:ilvl w:val="0"/>
          <w:numId w:val="2"/>
        </w:numPr>
        <w:spacing w:after="40" w:before="40"/>
      </w:pPr>
      <w:r>
        <w:rPr>
          <w:rFonts w:ascii="Calibri" w:cs="Calibri" w:eastAsia="Calibri" w:hAnsi="Calibri"/>
          <w:sz w:val="22"/>
          <w:szCs w:val="22"/>
        </w:rPr>
        <w:t xml:space="preserve">Step 2 — Exploratory Data Analysis: Grouped data by category, sub-category, region, and segment. Computed summary statistics and correlation analysis.</w:t>
      </w:r>
    </w:p>
    <w:p>
      <w:pPr>
        <w:pStyle w:val="ListParagraph"/>
        <w:numPr>
          <w:ilvl w:val="0"/>
          <w:numId w:val="2"/>
        </w:numPr>
        <w:spacing w:after="40" w:before="40"/>
      </w:pPr>
      <w:r>
        <w:rPr>
          <w:rFonts w:ascii="Calibri" w:cs="Calibri" w:eastAsia="Calibri" w:hAnsi="Calibri"/>
          <w:sz w:val="22"/>
          <w:szCs w:val="22"/>
        </w:rPr>
        <w:t xml:space="preserve">Step 3 — Visualization: Created line charts for revenue trends, bar charts for category and regional comparisons, and scatter plots for discount vs profit analysis.</w:t>
      </w:r>
    </w:p>
    <w:p>
      <w:pPr>
        <w:pStyle w:val="ListParagraph"/>
        <w:numPr>
          <w:ilvl w:val="0"/>
          <w:numId w:val="2"/>
        </w:numPr>
        <w:spacing w:after="40" w:before="40"/>
      </w:pPr>
      <w:r>
        <w:rPr>
          <w:rFonts w:ascii="Calibri" w:cs="Calibri" w:eastAsia="Calibri" w:hAnsi="Calibri"/>
          <w:sz w:val="22"/>
          <w:szCs w:val="22"/>
        </w:rPr>
        <w:t xml:space="preserve">Step 4 — Insight Extraction: Translated findings into plain business insights with specific recommendations.</w:t>
      </w:r>
    </w:p>
    <w:p>
      <w:pPr>
        <w:spacing w:after="0" w:before="120"/>
      </w:pPr>
      <w:r>
        <w:t xml:space="preserve"/>
      </w:r>
    </w:p>
    <w:p>
      <w:pPr>
        <w:pBdr>
          <w:bottom w:val="single" w:color="2E74B5" w:sz="4" w:space="4"/>
        </w:pBdr>
        <w:spacing w:after="160" w:before="320"/>
      </w:pPr>
      <w:r>
        <w:rPr>
          <w:rFonts w:ascii="Calibri" w:cs="Calibri" w:eastAsia="Calibri" w:hAnsi="Calibri"/>
          <w:b/>
          <w:bCs/>
          <w:sz w:val="30"/>
          <w:szCs w:val="30"/>
        </w:rPr>
        <w:t xml:space="preserve">5. 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b/>
                <w:bCs/>
                <w:sz w:val="20"/>
                <w:szCs w:val="20"/>
              </w:rPr>
              <w:t xml:space="preserve">Total Revenue (4 Years)</w:t>
            </w:r>
          </w:p>
        </w:tc>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~$2.3 Million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bCs/>
                <w:sz w:val="20"/>
                <w:szCs w:val="20"/>
              </w:rPr>
              <w:t xml:space="preserve">Total Orders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9,994</w:t>
            </w:r>
          </w:p>
        </w:tc>
      </w:tr>
      <w:tr>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b/>
                <w:bCs/>
                <w:sz w:val="20"/>
                <w:szCs w:val="20"/>
              </w:rPr>
              <w:t xml:space="preserve">Overall Profit Margin</w:t>
            </w:r>
          </w:p>
        </w:tc>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~12.5%</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bCs/>
                <w:sz w:val="20"/>
                <w:szCs w:val="20"/>
              </w:rPr>
              <w:t xml:space="preserve">Top Category by Profit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Technology (~17% margin)</w:t>
            </w:r>
          </w:p>
        </w:tc>
      </w:tr>
      <w:tr>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b/>
                <w:bCs/>
                <w:sz w:val="20"/>
                <w:szCs w:val="20"/>
              </w:rPr>
              <w:t xml:space="preserve">Loss-Making Sub-Category</w:t>
            </w:r>
          </w:p>
        </w:tc>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Tables (–8.6% margin)</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bCs/>
                <w:sz w:val="20"/>
                <w:szCs w:val="20"/>
              </w:rPr>
              <w:t xml:space="preserve">Peak Revenue Period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Q4 (Oct–Dec), ~35% of annual revenue</w:t>
            </w:r>
          </w:p>
        </w:tc>
      </w:tr>
      <w:tr>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b/>
                <w:bCs/>
                <w:sz w:val="20"/>
                <w:szCs w:val="20"/>
              </w:rPr>
              <w:t xml:space="preserve">Best Region</w:t>
            </w:r>
          </w:p>
        </w:tc>
        <w:tc>
          <w:tcPr>
            <w:tcW w:type="dxa" w:w="46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West (highest sales and profit)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b/>
                <w:bCs/>
                <w:sz w:val="20"/>
                <w:szCs w:val="20"/>
              </w:rPr>
              <w:t xml:space="preserve">Weakest Region by Margin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Central (~8% margin)</w:t>
            </w:r>
          </w:p>
        </w:tc>
      </w:tr>
    </w:tbl>
    <w:p>
      <w:pPr>
        <w:spacing w:after="0" w:before="200"/>
      </w:pPr>
      <w:r>
        <w:t xml:space="preserve"/>
      </w:r>
    </w:p>
    <w:p>
      <w:pPr>
        <w:pBdr>
          <w:bottom w:val="single" w:color="2E74B5" w:sz="4" w:space="4"/>
        </w:pBdr>
        <w:spacing w:after="160" w:before="320"/>
      </w:pPr>
      <w:r>
        <w:rPr>
          <w:rFonts w:ascii="Calibri" w:cs="Calibri" w:eastAsia="Calibri" w:hAnsi="Calibri"/>
          <w:b/>
          <w:bCs/>
          <w:sz w:val="30"/>
          <w:szCs w:val="30"/>
        </w:rPr>
        <w:t xml:space="preserve">6. Business Insights and Recommendations</w:t>
      </w:r>
    </w:p>
    <w:p>
      <w:pPr>
        <w:spacing w:after="60" w:before="60"/>
        <w:jc w:val="both"/>
      </w:pPr>
      <w:r>
        <w:rPr>
          <w:rFonts w:ascii="Calibri" w:cs="Calibri" w:eastAsia="Calibri" w:hAnsi="Calibri"/>
          <w:sz w:val="22"/>
          <w:szCs w:val="22"/>
        </w:rPr>
        <w:t xml:space="preserve">A total of 10 insights were identified from the analysis. Each insight is backed by data and accompanied by a specific recommendation.</w:t>
      </w:r>
    </w:p>
    <w:p>
      <w:pPr>
        <w:spacing w:after="0" w:before="80"/>
      </w:pPr>
      <w:r>
        <w:t xml:space="preserve"/>
      </w:r>
    </w:p>
    <w:p>
      <w:pPr>
        <w:spacing w:after="100" w:before="240"/>
      </w:pPr>
      <w:r>
        <w:rPr>
          <w:rFonts w:ascii="Calibri" w:cs="Calibri" w:eastAsia="Calibri" w:hAnsi="Calibri"/>
          <w:b/>
          <w:bCs/>
          <w:color w:val="2E74B5"/>
          <w:sz w:val="24"/>
          <w:szCs w:val="24"/>
        </w:rPr>
        <w:t xml:space="preserve">6.1 Revenue Trends</w:t>
      </w:r>
    </w:p>
    <w:p>
      <w:pPr>
        <w:spacing w:after="60" w:before="180"/>
      </w:pPr>
      <w:r>
        <w:rPr>
          <w:rFonts w:ascii="Calibri" w:cs="Calibri" w:eastAsia="Calibri" w:hAnsi="Calibri"/>
          <w:b/>
          <w:bCs/>
          <w:sz w:val="22"/>
          <w:szCs w:val="22"/>
        </w:rPr>
        <w:t xml:space="preserve">Insight 01: </w:t>
      </w:r>
      <w:r>
        <w:rPr>
          <w:rFonts w:ascii="Calibri" w:cs="Calibri" w:eastAsia="Calibri" w:hAnsi="Calibri"/>
          <w:b/>
          <w:bCs/>
          <w:color w:val="1F5C99"/>
          <w:sz w:val="22"/>
          <w:szCs w:val="22"/>
        </w:rPr>
        <w:t xml:space="preserve">Q4 is the strongest revenue period</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October to December consistently accounts for around 35% of annual revenue across all four years. November and December show the sharpest spikes, driven by holiday shopping and end-of-year corporate purchases.</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Plan inventory restocking and marketing campaigns before October. Focus on high-demand sub-categories like Phones, Chairs, and Binders ahead of the Q4 season.</w:t>
      </w:r>
    </w:p>
    <w:p>
      <w:pPr>
        <w:spacing w:after="60" w:before="180"/>
      </w:pPr>
      <w:r>
        <w:rPr>
          <w:rFonts w:ascii="Calibri" w:cs="Calibri" w:eastAsia="Calibri" w:hAnsi="Calibri"/>
          <w:b/>
          <w:bCs/>
          <w:sz w:val="22"/>
          <w:szCs w:val="22"/>
        </w:rPr>
        <w:t xml:space="preserve">Insight 02: </w:t>
      </w:r>
      <w:r>
        <w:rPr>
          <w:rFonts w:ascii="Calibri" w:cs="Calibri" w:eastAsia="Calibri" w:hAnsi="Calibri"/>
          <w:b/>
          <w:bCs/>
          <w:color w:val="1F5C99"/>
          <w:sz w:val="22"/>
          <w:szCs w:val="22"/>
        </w:rPr>
        <w:t xml:space="preserve">Revenue has grown every year but profit growth has lagged</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Sales grew steadily from 2014 to 2017 with no year-on-year decline. However, profit growth has not kept pace with revenue growth, which suggests the business may be relying on discounts to drive volume rather than pricing strength.</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Review discount approval processes across all categories. Compare discount rates year over year to identify where margins are being eroded.</w:t>
      </w:r>
    </w:p>
    <w:p>
      <w:pPr>
        <w:spacing w:after="0" w:before="80"/>
      </w:pPr>
      <w:r>
        <w:t xml:space="preserve"/>
      </w:r>
    </w:p>
    <w:p>
      <w:pPr>
        <w:spacing w:after="100" w:before="240"/>
      </w:pPr>
      <w:r>
        <w:rPr>
          <w:rFonts w:ascii="Calibri" w:cs="Calibri" w:eastAsia="Calibri" w:hAnsi="Calibri"/>
          <w:b/>
          <w:bCs/>
          <w:color w:val="2E74B5"/>
          <w:sz w:val="24"/>
          <w:szCs w:val="24"/>
        </w:rPr>
        <w:t xml:space="preserve">6.2 Product Performance</w:t>
      </w:r>
    </w:p>
    <w:p>
      <w:pPr>
        <w:spacing w:after="60" w:before="180"/>
      </w:pPr>
      <w:r>
        <w:rPr>
          <w:rFonts w:ascii="Calibri" w:cs="Calibri" w:eastAsia="Calibri" w:hAnsi="Calibri"/>
          <w:b/>
          <w:bCs/>
          <w:sz w:val="22"/>
          <w:szCs w:val="22"/>
        </w:rPr>
        <w:t xml:space="preserve">Insight 03: </w:t>
      </w:r>
      <w:r>
        <w:rPr>
          <w:rFonts w:ascii="Calibri" w:cs="Calibri" w:eastAsia="Calibri" w:hAnsi="Calibri"/>
          <w:b/>
          <w:bCs/>
          <w:color w:val="1F5C99"/>
          <w:sz w:val="22"/>
          <w:szCs w:val="22"/>
        </w:rPr>
        <w:t xml:space="preserve">Technology is the most profitable category</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Technology generated approximately $836,000 in revenue over four years with an average profit margin of around 17%. Copiers deliver the best margins per unit, while Phones lead in total revenue volume.</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Prioritize Copiers in B2B sales conversations since they deliver the highest margin per order. Expand the Phones product range to capture more consumer demand.</w:t>
      </w:r>
    </w:p>
    <w:p>
      <w:pPr>
        <w:spacing w:after="60" w:before="180"/>
      </w:pPr>
      <w:r>
        <w:rPr>
          <w:rFonts w:ascii="Calibri" w:cs="Calibri" w:eastAsia="Calibri" w:hAnsi="Calibri"/>
          <w:b/>
          <w:bCs/>
          <w:sz w:val="22"/>
          <w:szCs w:val="22"/>
        </w:rPr>
        <w:t xml:space="preserve">Insight 04: </w:t>
      </w:r>
      <w:r>
        <w:rPr>
          <w:rFonts w:ascii="Calibri" w:cs="Calibri" w:eastAsia="Calibri" w:hAnsi="Calibri"/>
          <w:b/>
          <w:bCs/>
          <w:color w:val="1F5C99"/>
          <w:sz w:val="22"/>
          <w:szCs w:val="22"/>
        </w:rPr>
        <w:t xml:space="preserve">Furniture generates strong revenue but very thin profit</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Furniture is the second-highest revenue category at roughly $742,000 but carries an average profit margin of only around 2.5%. The Tables sub-category is the primary reason for this.</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Set a minimum price policy for Furniture deals. Renegotiate supplier costs for Tables or reduce the depth of discounts offered on this sub-category.</w:t>
      </w:r>
    </w:p>
    <w:p>
      <w:pPr>
        <w:spacing w:after="60" w:before="180"/>
      </w:pPr>
      <w:r>
        <w:rPr>
          <w:rFonts w:ascii="Calibri" w:cs="Calibri" w:eastAsia="Calibri" w:hAnsi="Calibri"/>
          <w:b/>
          <w:bCs/>
          <w:sz w:val="22"/>
          <w:szCs w:val="22"/>
        </w:rPr>
        <w:t xml:space="preserve">Insight 05: </w:t>
      </w:r>
      <w:r>
        <w:rPr>
          <w:rFonts w:ascii="Calibri" w:cs="Calibri" w:eastAsia="Calibri" w:hAnsi="Calibri"/>
          <w:b/>
          <w:bCs/>
          <w:color w:val="1F5C99"/>
          <w:sz w:val="22"/>
          <w:szCs w:val="22"/>
        </w:rPr>
        <w:t xml:space="preserve">Tables sub-category is running at a consistent loss</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Tables is the only sub-category with a negative profit margin, estimated at around -8.6%. The main cause is that discounts on Tables frequently go as high as 40 to 60%, pushing the selling price below cost. This single sub-category may be eroding $17,000 to $20,000 in profit annually.</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Cap discounts on Tables at 20%. Conduct a break-even analysis to set a minimum viable selling price. This is the single highest-impact action available in the short term.</w:t>
      </w:r>
    </w:p>
    <w:p>
      <w:pPr>
        <w:spacing w:after="60" w:before="180"/>
      </w:pPr>
      <w:r>
        <w:rPr>
          <w:rFonts w:ascii="Calibri" w:cs="Calibri" w:eastAsia="Calibri" w:hAnsi="Calibri"/>
          <w:b/>
          <w:bCs/>
          <w:sz w:val="22"/>
          <w:szCs w:val="22"/>
        </w:rPr>
        <w:t xml:space="preserve">Insight 06: </w:t>
      </w:r>
      <w:r>
        <w:rPr>
          <w:rFonts w:ascii="Calibri" w:cs="Calibri" w:eastAsia="Calibri" w:hAnsi="Calibri"/>
          <w:b/>
          <w:bCs/>
          <w:color w:val="1F5C99"/>
          <w:sz w:val="22"/>
          <w:szCs w:val="22"/>
        </w:rPr>
        <w:t xml:space="preserve">Office Supplies is the most consistent performer</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Office Supplies generated the highest number of orders at around 6,000 transactions with an average profit margin of roughly 17%. Binders, Paper, and Storage are the top contributors within this category.</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Bundle slower-moving Office Supply items with popular products to increase average order value and reduce excess stock.</w:t>
      </w:r>
    </w:p>
    <w:p>
      <w:pPr>
        <w:spacing w:after="0" w:before="80"/>
      </w:pPr>
      <w:r>
        <w:t xml:space="preserve"/>
      </w:r>
    </w:p>
    <w:p>
      <w:pPr>
        <w:spacing w:after="100" w:before="240"/>
      </w:pPr>
      <w:r>
        <w:rPr>
          <w:rFonts w:ascii="Calibri" w:cs="Calibri" w:eastAsia="Calibri" w:hAnsi="Calibri"/>
          <w:b/>
          <w:bCs/>
          <w:color w:val="2E74B5"/>
          <w:sz w:val="24"/>
          <w:szCs w:val="24"/>
        </w:rPr>
        <w:t xml:space="preserve">6.3 Regional Performance</w:t>
      </w:r>
    </w:p>
    <w:p>
      <w:pPr>
        <w:spacing w:after="60" w:before="180"/>
      </w:pPr>
      <w:r>
        <w:rPr>
          <w:rFonts w:ascii="Calibri" w:cs="Calibri" w:eastAsia="Calibri" w:hAnsi="Calibri"/>
          <w:b/>
          <w:bCs/>
          <w:sz w:val="22"/>
          <w:szCs w:val="22"/>
        </w:rPr>
        <w:t xml:space="preserve">Insight 07: </w:t>
      </w:r>
      <w:r>
        <w:rPr>
          <w:rFonts w:ascii="Calibri" w:cs="Calibri" w:eastAsia="Calibri" w:hAnsi="Calibri"/>
          <w:b/>
          <w:bCs/>
          <w:color w:val="1F5C99"/>
          <w:sz w:val="22"/>
          <w:szCs w:val="22"/>
        </w:rPr>
        <w:t xml:space="preserve">West region leads; Central region underperforms on margin</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The West region leads all four regions in both revenue and profit. The Central region has relatively high sales volume but the lowest profit margin at around 8%, well below the overall average of 12.5%.</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Audit discount approvals in the Central region. Even a 3 to 4 percentage point improvement in Central's margin would add approximately $15,000 to annual profit.</w:t>
      </w:r>
    </w:p>
    <w:p>
      <w:pPr>
        <w:spacing w:after="60" w:before="180"/>
      </w:pPr>
      <w:r>
        <w:rPr>
          <w:rFonts w:ascii="Calibri" w:cs="Calibri" w:eastAsia="Calibri" w:hAnsi="Calibri"/>
          <w:b/>
          <w:bCs/>
          <w:sz w:val="22"/>
          <w:szCs w:val="22"/>
        </w:rPr>
        <w:t xml:space="preserve">Insight 08: </w:t>
      </w:r>
      <w:r>
        <w:rPr>
          <w:rFonts w:ascii="Calibri" w:cs="Calibri" w:eastAsia="Calibri" w:hAnsi="Calibri"/>
          <w:b/>
          <w:bCs/>
          <w:color w:val="1F5C99"/>
          <w:sz w:val="22"/>
          <w:szCs w:val="22"/>
        </w:rPr>
        <w:t xml:space="preserve">South region is small but highly efficient</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The South region has the lowest total revenue but maintains a profit margin of around 15%, which is the second-highest across all regions. It is generating strong profit relative to its sales volume.</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Identify the pricing and customer mix practices that make South region efficient and apply those same practices to the Central region.</w:t>
      </w:r>
    </w:p>
    <w:p>
      <w:pPr>
        <w:spacing w:after="0" w:before="80"/>
      </w:pPr>
      <w:r>
        <w:t xml:space="preserve"/>
      </w:r>
    </w:p>
    <w:p>
      <w:pPr>
        <w:spacing w:after="100" w:before="240"/>
      </w:pPr>
      <w:r>
        <w:rPr>
          <w:rFonts w:ascii="Calibri" w:cs="Calibri" w:eastAsia="Calibri" w:hAnsi="Calibri"/>
          <w:b/>
          <w:bCs/>
          <w:color w:val="2E74B5"/>
          <w:sz w:val="24"/>
          <w:szCs w:val="24"/>
        </w:rPr>
        <w:t xml:space="preserve">6.4 Customer Segments</w:t>
      </w:r>
    </w:p>
    <w:p>
      <w:pPr>
        <w:spacing w:after="60" w:before="180"/>
      </w:pPr>
      <w:r>
        <w:rPr>
          <w:rFonts w:ascii="Calibri" w:cs="Calibri" w:eastAsia="Calibri" w:hAnsi="Calibri"/>
          <w:b/>
          <w:bCs/>
          <w:sz w:val="22"/>
          <w:szCs w:val="22"/>
        </w:rPr>
        <w:t xml:space="preserve">Insight 09: </w:t>
      </w:r>
      <w:r>
        <w:rPr>
          <w:rFonts w:ascii="Calibri" w:cs="Calibri" w:eastAsia="Calibri" w:hAnsi="Calibri"/>
          <w:b/>
          <w:bCs/>
          <w:color w:val="1F5C99"/>
          <w:sz w:val="22"/>
          <w:szCs w:val="22"/>
        </w:rPr>
        <w:t xml:space="preserve">Consumer segment drives volume; Corporate segment drives value</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The Consumer segment accounts for the most orders and highest revenue, but Corporate and Home Office customers tend to place larger orders at better margins with fewer discount requests.</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Invest in B2B account management to grow the Corporate segment. Even shifting 10% of revenue from Consumer to Corporate could meaningfully improve overall profit margins without increasing transaction volume.</w:t>
      </w:r>
    </w:p>
    <w:p>
      <w:pPr>
        <w:spacing w:after="0" w:before="80"/>
      </w:pPr>
      <w:r>
        <w:t xml:space="preserve"/>
      </w:r>
    </w:p>
    <w:p>
      <w:pPr>
        <w:spacing w:after="100" w:before="240"/>
      </w:pPr>
      <w:r>
        <w:rPr>
          <w:rFonts w:ascii="Calibri" w:cs="Calibri" w:eastAsia="Calibri" w:hAnsi="Calibri"/>
          <w:b/>
          <w:bCs/>
          <w:color w:val="2E74B5"/>
          <w:sz w:val="24"/>
          <w:szCs w:val="24"/>
        </w:rPr>
        <w:t xml:space="preserve">6.5 Discount Impact</w:t>
      </w:r>
    </w:p>
    <w:p>
      <w:pPr>
        <w:spacing w:after="60" w:before="180"/>
      </w:pPr>
      <w:r>
        <w:rPr>
          <w:rFonts w:ascii="Calibri" w:cs="Calibri" w:eastAsia="Calibri" w:hAnsi="Calibri"/>
          <w:b/>
          <w:bCs/>
          <w:sz w:val="22"/>
          <w:szCs w:val="22"/>
        </w:rPr>
        <w:t xml:space="preserve">Insight 10: </w:t>
      </w:r>
      <w:r>
        <w:rPr>
          <w:rFonts w:ascii="Calibri" w:cs="Calibri" w:eastAsia="Calibri" w:hAnsi="Calibri"/>
          <w:b/>
          <w:bCs/>
          <w:color w:val="1F5C99"/>
          <w:sz w:val="22"/>
          <w:szCs w:val="22"/>
        </w:rPr>
        <w:t xml:space="preserve">High discounts are hurting profit without increasing volume</w:t>
      </w:r>
    </w:p>
    <w:p>
      <w:pPr>
        <w:spacing w:after="40" w:before="40"/>
        <w:jc w:val="both"/>
      </w:pPr>
      <w:r>
        <w:rPr>
          <w:rFonts w:ascii="Calibri" w:cs="Calibri" w:eastAsia="Calibri" w:hAnsi="Calibri"/>
          <w:b/>
          <w:bCs/>
          <w:sz w:val="22"/>
          <w:szCs w:val="22"/>
        </w:rPr>
        <w:t xml:space="preserve">Finding:  </w:t>
      </w:r>
      <w:r>
        <w:rPr>
          <w:rFonts w:ascii="Calibri" w:cs="Calibri" w:eastAsia="Calibri" w:hAnsi="Calibri"/>
          <w:sz w:val="22"/>
          <w:szCs w:val="22"/>
        </w:rPr>
        <w:t xml:space="preserve">Correlation analysis between Discount and Profit shows a negative relationship (r ≈ -0.22). Orders with discounts above 40% almost always result in a net loss. There is no evidence that deeper discounts generate enough additional volume to compensate for the margin loss.</w:t>
      </w:r>
    </w:p>
    <w:p>
      <w:pPr>
        <w:spacing w:after="80" w:before="40"/>
        <w:jc w:val="both"/>
      </w:pPr>
      <w:r>
        <w:rPr>
          <w:rFonts w:ascii="Calibri" w:cs="Calibri" w:eastAsia="Calibri" w:hAnsi="Calibri"/>
          <w:b/>
          <w:bCs/>
          <w:sz w:val="22"/>
          <w:szCs w:val="22"/>
        </w:rPr>
        <w:t xml:space="preserve">Recommendation:  </w:t>
      </w:r>
      <w:r>
        <w:rPr>
          <w:rFonts w:ascii="Calibri" w:cs="Calibri" w:eastAsia="Calibri" w:hAnsi="Calibri"/>
          <w:sz w:val="22"/>
          <w:szCs w:val="22"/>
        </w:rPr>
        <w:t xml:space="preserve">Set a hard cap of 30% on all discounts, requiring senior approval for anything above that threshold. Introduce a pre-order margin check that flags any deal projected to be loss-making before it is confirmed.</w:t>
      </w:r>
    </w:p>
    <w:p>
      <w:pPr>
        <w:spacing w:after="0" w:before="200"/>
      </w:pPr>
      <w:r>
        <w:t xml:space="preserve"/>
      </w:r>
    </w:p>
    <w:p>
      <w:pPr>
        <w:pBdr>
          <w:bottom w:val="single" w:color="2E74B5" w:sz="4" w:space="4"/>
        </w:pBdr>
        <w:spacing w:after="160" w:before="320"/>
      </w:pPr>
      <w:r>
        <w:rPr>
          <w:rFonts w:ascii="Calibri" w:cs="Calibri" w:eastAsia="Calibri" w:hAnsi="Calibri"/>
          <w:b/>
          <w:bCs/>
          <w:sz w:val="30"/>
          <w:szCs w:val="30"/>
        </w:rPr>
        <w:t xml:space="preserve">7. Summary of Recommendations</w:t>
      </w:r>
    </w:p>
    <w:p>
      <w:pPr>
        <w:spacing w:after="60" w:before="60"/>
        <w:jc w:val="both"/>
      </w:pPr>
      <w:r>
        <w:rPr>
          <w:rFonts w:ascii="Calibri" w:cs="Calibri" w:eastAsia="Calibri" w:hAnsi="Calibri"/>
          <w:sz w:val="22"/>
          <w:szCs w:val="22"/>
        </w:rPr>
        <w:t xml:space="preserve">The five most impactful actions, listed in priority order: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80"/>
        <w:gridCol w:w="3600"/>
      </w:tblGrid>
      <w:tr>
        <w:tc>
          <w:tcPr>
            <w:tcW w:type="dxa" w:w="480"/>
            <w:tcBorders>
              <w:top w:val="single" w:color="BBBBBB" w:sz="1"/>
              <w:left w:val="single" w:color="BBBBBB" w:sz="1"/>
              <w:bottom w:val="single" w:color="BBBBBB" w:sz="1"/>
              <w:right w:val="single" w:color="BBBBBB" w:sz="1"/>
            </w:tcBorders>
            <w:shd w:fill="2E74B5"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5280"/>
            <w:tcBorders>
              <w:top w:val="single" w:color="BBBBBB" w:sz="1"/>
              <w:left w:val="single" w:color="BBBBBB" w:sz="1"/>
              <w:bottom w:val="single" w:color="BBBBBB" w:sz="1"/>
              <w:right w:val="single" w:color="BBBBBB" w:sz="1"/>
            </w:tcBorders>
            <w:shd w:fill="2E74B5" w:val="clear"/>
            <w:tcMar>
              <w:top w:type="dxa" w:w="80"/>
              <w:left w:type="dxa" w:w="140"/>
              <w:bottom w:type="dxa" w:w="80"/>
              <w:right w:type="dxa" w:w="140"/>
            </w:tcMar>
          </w:tcPr>
          <w:p>
            <w:r>
              <w:rPr>
                <w:rFonts w:ascii="Calibri" w:cs="Calibri" w:eastAsia="Calibri" w:hAnsi="Calibri"/>
                <w:b/>
                <w:bCs/>
                <w:color w:val="FFFFFF"/>
                <w:sz w:val="20"/>
                <w:szCs w:val="20"/>
              </w:rPr>
              <w:t xml:space="preserve">Action</w:t>
            </w:r>
          </w:p>
        </w:tc>
        <w:tc>
          <w:tcPr>
            <w:tcW w:type="dxa" w:w="3600"/>
            <w:tcBorders>
              <w:top w:val="single" w:color="BBBBBB" w:sz="1"/>
              <w:left w:val="single" w:color="BBBBBB" w:sz="1"/>
              <w:bottom w:val="single" w:color="BBBBBB" w:sz="1"/>
              <w:right w:val="single" w:color="BBBBBB" w:sz="1"/>
            </w:tcBorders>
            <w:shd w:fill="2E74B5" w:val="clear"/>
            <w:tcMar>
              <w:top w:type="dxa" w:w="80"/>
              <w:left w:type="dxa" w:w="140"/>
              <w:bottom w:type="dxa" w:w="80"/>
              <w:right w:type="dxa" w:w="140"/>
            </w:tcMar>
          </w:tcPr>
          <w:p>
            <w:r>
              <w:rPr>
                <w:rFonts w:ascii="Calibri" w:cs="Calibri" w:eastAsia="Calibri" w:hAnsi="Calibri"/>
                <w:b/>
                <w:bCs/>
                <w:color w:val="FFFFFF"/>
                <w:sz w:val="20"/>
                <w:szCs w:val="20"/>
              </w:rPr>
              <w:t xml:space="preserve">Expected Outcome</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sz w:val="20"/>
                <w:szCs w:val="20"/>
              </w:rPr>
              <w:t xml:space="preserve">1</w:t>
            </w:r>
          </w:p>
        </w:tc>
        <w:tc>
          <w:tcPr>
            <w:tcW w:type="dxa" w:w="5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Cap all discounts at 30%; require approval above 20% for Tables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Recover $17K–$20K annual profit from Tables</w:t>
            </w:r>
          </w:p>
        </w:tc>
      </w:tr>
      <w:tr>
        <w:tc>
          <w:tcPr>
            <w:tcW w:type="dxa" w:w="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Calibri" w:cs="Calibri" w:eastAsia="Calibri" w:hAnsi="Calibri"/>
                <w:b/>
                <w:bCs/>
                <w:sz w:val="20"/>
                <w:szCs w:val="20"/>
              </w:rPr>
              <w:t xml:space="preserve">2</w:t>
            </w:r>
          </w:p>
        </w:tc>
        <w:tc>
          <w:tcPr>
            <w:tcW w:type="dxa" w:w="5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Add a pre-order margin check to flag loss-making deals</w:t>
            </w:r>
          </w:p>
        </w:tc>
        <w:tc>
          <w:tcPr>
            <w:tcW w:type="dxa" w:w="3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Eliminate negative-margin orders in real time</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sz w:val="20"/>
                <w:szCs w:val="20"/>
              </w:rPr>
              <w:t xml:space="preserve">3</w:t>
            </w:r>
          </w:p>
        </w:tc>
        <w:tc>
          <w:tcPr>
            <w:tcW w:type="dxa" w:w="5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Grow the Corporate customer segment through B2B focus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Higher average order value and better margins</w:t>
            </w:r>
          </w:p>
        </w:tc>
      </w:tr>
      <w:tr>
        <w:tc>
          <w:tcPr>
            <w:tcW w:type="dxa" w:w="48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pPr>
              <w:jc w:val="center"/>
            </w:pPr>
            <w:r>
              <w:rPr>
                <w:rFonts w:ascii="Calibri" w:cs="Calibri" w:eastAsia="Calibri" w:hAnsi="Calibri"/>
                <w:b/>
                <w:bCs/>
                <w:sz w:val="20"/>
                <w:szCs w:val="20"/>
              </w:rPr>
              <w:t xml:space="preserve">4</w:t>
            </w:r>
          </w:p>
        </w:tc>
        <w:tc>
          <w:tcPr>
            <w:tcW w:type="dxa" w:w="528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Plan Q4 inventory for Phones, Chairs, Binders from August</w:t>
            </w:r>
          </w:p>
        </w:tc>
        <w:tc>
          <w:tcPr>
            <w:tcW w:type="dxa" w:w="3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alibri" w:cs="Calibri" w:eastAsia="Calibri" w:hAnsi="Calibri"/>
                <w:sz w:val="20"/>
                <w:szCs w:val="20"/>
              </w:rPr>
              <w:t xml:space="preserve">Capture the full Q4 demand spike</w:t>
            </w:r>
          </w:p>
        </w:tc>
      </w:tr>
      <w:tr>
        <w:tc>
          <w:tcPr>
            <w:tcW w:type="dxa" w:w="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Calibri" w:cs="Calibri" w:eastAsia="Calibri" w:hAnsi="Calibri"/>
                <w:b/>
                <w:bCs/>
                <w:sz w:val="20"/>
                <w:szCs w:val="20"/>
              </w:rPr>
              <w:t xml:space="preserve">5</w:t>
            </w:r>
          </w:p>
        </w:tc>
        <w:tc>
          <w:tcPr>
            <w:tcW w:type="dxa" w:w="52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Apply South region pricing discipline to Central region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alibri" w:cs="Calibri" w:eastAsia="Calibri" w:hAnsi="Calibri"/>
                <w:sz w:val="20"/>
                <w:szCs w:val="20"/>
              </w:rPr>
              <w:t xml:space="preserve">Add ~$15K annually to profit</w:t>
            </w:r>
          </w:p>
        </w:tc>
      </w:tr>
    </w:tbl>
    <w:p>
      <w:pPr>
        <w:spacing w:after="0" w:before="200"/>
      </w:pPr>
      <w:r>
        <w:t xml:space="preserve"/>
      </w:r>
    </w:p>
    <w:p>
      <w:pPr>
        <w:pBdr>
          <w:bottom w:val="single" w:color="2E74B5" w:sz="4" w:space="4"/>
        </w:pBdr>
        <w:spacing w:after="160" w:before="320"/>
      </w:pPr>
      <w:r>
        <w:rPr>
          <w:rFonts w:ascii="Calibri" w:cs="Calibri" w:eastAsia="Calibri" w:hAnsi="Calibri"/>
          <w:b/>
          <w:bCs/>
          <w:sz w:val="30"/>
          <w:szCs w:val="30"/>
        </w:rPr>
        <w:t xml:space="preserve">8. Conclusion</w:t>
      </w:r>
    </w:p>
    <w:p>
      <w:pPr>
        <w:spacing w:after="60" w:before="60"/>
        <w:jc w:val="both"/>
      </w:pPr>
      <w:r>
        <w:rPr>
          <w:rFonts w:ascii="Calibri" w:cs="Calibri" w:eastAsia="Calibri" w:hAnsi="Calibri"/>
          <w:sz w:val="22"/>
          <w:szCs w:val="22"/>
        </w:rPr>
        <w:t xml:space="preserve">The Superstore dataset analysis reveals that the business has a solid and growing revenue base, but profit is being unnecessarily eroded through excessive discounting, particularly in the Furniture category and the Central region. The most immediate opportunity is to put guardrails on discounting — especially for the Tables sub-category — which could recover tens of thousands of dollars in annual profit with minimal operational change.</w:t>
      </w:r>
    </w:p>
    <w:p>
      <w:pPr>
        <w:spacing w:after="0" w:before="60"/>
      </w:pPr>
      <w:r>
        <w:t xml:space="preserve"/>
      </w:r>
    </w:p>
    <w:p>
      <w:pPr>
        <w:spacing w:after="60" w:before="60"/>
        <w:jc w:val="both"/>
      </w:pPr>
      <w:r>
        <w:rPr>
          <w:rFonts w:ascii="Calibri" w:cs="Calibri" w:eastAsia="Calibri" w:hAnsi="Calibri"/>
          <w:sz w:val="22"/>
          <w:szCs w:val="22"/>
        </w:rPr>
        <w:t xml:space="preserve">At the same time, the business should look to grow its Corporate customer base and prepare early for Q4, which is a reliable and predictable revenue peak. Technology remains the strongest category and should be the focus for new product investment and B2B sales effort.</w:t>
      </w:r>
    </w:p>
    <w:p>
      <w:pPr>
        <w:spacing w:after="0" w:before="60"/>
      </w:pPr>
      <w:r>
        <w:t xml:space="preserve"/>
      </w:r>
    </w:p>
    <w:p>
      <w:pPr>
        <w:spacing w:after="60" w:before="60"/>
        <w:jc w:val="both"/>
      </w:pPr>
      <w:r>
        <w:rPr>
          <w:rFonts w:ascii="Calibri" w:cs="Calibri" w:eastAsia="Calibri" w:hAnsi="Calibri"/>
          <w:sz w:val="22"/>
          <w:szCs w:val="22"/>
        </w:rPr>
        <w:t xml:space="preserve">These findings and recommendations are based on four years of transaction data and are intended to inform short-term operational decisions as well as medium-term strategic planning.</w:t>
      </w:r>
    </w:p>
    <w:p>
      <w:pPr>
        <w:spacing w:after="0" w:before="300"/>
      </w:pPr>
      <w:r>
        <w:t xml:space="preserve"/>
      </w:r>
    </w:p>
    <w:p>
      <w:pPr>
        <w:pBdr>
          <w:top w:val="single" w:color="CCCCCC" w:sz="4" w:space="6"/>
        </w:pBdr>
        <w:spacing w:after="0" w:before="0"/>
        <w:jc w:val="center"/>
      </w:pPr>
      <w:r>
        <w:rPr>
          <w:rFonts w:ascii="Calibri" w:cs="Calibri" w:eastAsia="Calibri" w:hAnsi="Calibri"/>
          <w:color w:val="999999"/>
          <w:sz w:val="18"/>
          <w:szCs w:val="18"/>
        </w:rPr>
        <w:t xml:space="preserve">Prepared by Pulkit Mehrotra  |  Data Science Intern, Synent Technologies  |  May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2026-05-21T07:28:49.129Z</dcterms:created>
  <dcterms:modified xsi:type="dcterms:W3CDTF">2026-05-21T07:28:49.142Z</dcterms:modified>
</cp:coreProperties>
</file>

<file path=docProps/custom.xml><?xml version="1.0" encoding="utf-8"?>
<Properties xmlns="http://schemas.openxmlformats.org/officeDocument/2006/custom-properties" xmlns:vt="http://schemas.openxmlformats.org/officeDocument/2006/docPropsVTypes"/>
</file>