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6"/>
          <w:szCs w:val="26"/>
        </w:rPr>
        <w:t xml:space="preserve">CurviMamba: A Mamba-SSM Architecture with Hessian Gating and Topology-Aware Loss for Underwater Detection of Long, Flexible, and Highly Deformable Curvilinear Objects</w:t>
      </w:r>
    </w:p>
    <w:p>
      <w:pPr>
        <w:spacing w:after="60" w:before="80"/>
        <w:jc w:val="center"/>
      </w:pPr>
      <w:r>
        <w:rPr>
          <w:rFonts w:ascii="Times New Roman" w:cs="Times New Roman" w:eastAsia="Times New Roman" w:hAnsi="Times New Roman"/>
          <w:b/>
          <w:bCs/>
          <w:sz w:val="20"/>
          <w:szCs w:val="20"/>
        </w:rPr>
        <w:t xml:space="preserve">[Author Name], [Co-Author Name], [Co-Author Name]</w:t>
      </w:r>
    </w:p>
    <w:p>
      <w:pPr>
        <w:spacing w:after="40" w:before="0"/>
        <w:jc w:val="center"/>
      </w:pPr>
      <w:r>
        <w:rPr>
          <w:rFonts w:ascii="Times New Roman" w:cs="Times New Roman" w:eastAsia="Times New Roman" w:hAnsi="Times New Roman"/>
          <w:i/>
          <w:iCs/>
          <w:sz w:val="18"/>
          <w:szCs w:val="18"/>
        </w:rPr>
        <w:t xml:space="preserve">[Institution / Department / Laboratory]</w:t>
      </w:r>
    </w:p>
    <w:p>
      <w:pPr>
        <w:spacing w:after="200" w:before="0"/>
        <w:jc w:val="center"/>
      </w:pPr>
      <w:r>
        <w:rPr>
          <w:rFonts w:ascii="Times New Roman" w:cs="Times New Roman" w:eastAsia="Times New Roman" w:hAnsi="Times New Roman"/>
          <w:sz w:val="18"/>
          <w:szCs w:val="18"/>
        </w:rPr>
        <w:t xml:space="preserve">{author.email}@institution.edu</w:t>
      </w:r>
    </w:p>
    <w:p>
      <w:pPr>
        <w:pStyle w:val="Heading1"/>
        <w:spacing w:after="120" w:before="200"/>
      </w:pPr>
      <w:r>
        <w:rPr>
          <w:rFonts w:ascii="Times New Roman" w:cs="Times New Roman" w:eastAsia="Times New Roman" w:hAnsi="Times New Roman"/>
          <w:b/>
          <w:bCs/>
          <w:color w:val="000000"/>
          <w:sz w:val="22"/>
          <w:szCs w:val="22"/>
        </w:rPr>
        <w:t xml:space="preserve">ABSTRACT</w:t>
      </w:r>
    </w:p>
    <w:p>
      <w:pPr>
        <w:spacing w:after="120" w:before="0" w:line="276"/>
        <w:ind/>
        <w:jc w:val="both"/>
      </w:pPr>
      <w:r>
        <w:rPr>
          <w:rFonts w:ascii="Times New Roman" w:cs="Times New Roman" w:eastAsia="Times New Roman" w:hAnsi="Times New Roman"/>
          <w:b w:val="false"/>
          <w:bCs w:val="false"/>
          <w:i w:val="false"/>
          <w:iCs w:val="false"/>
          <w:color w:val="000000"/>
          <w:sz w:val="20"/>
          <w:szCs w:val="20"/>
        </w:rPr>
        <w:t xml:space="preserve">Detecting long, flexible, and highly deformable curvilinear objects — such as subsea cables, mooring ropes, marine biological strands, and ghost-fishing nets — in underwater imagery poses fundamental challenges that existing detection paradigms do not adequately address. Classical pipelines based on Frangi vesselness filtering, Steger centerline extraction, and active contours struggle with dynamic turbidity, wavelength-selective attenuation, and the extreme aspect ratios of real underwater structures. Deep learning approaches designed for generic object detection fail on topologically critical thin structures where connectivity and centerline continuity matter as much as pixel-level accuracy. In this paper we present CurviMamba, a novel architecture that combines three complementary contributions: (i) a Mamba-SSM backbone with linear computational complexity that efficiently captures global context along elongated feature maps; (ii) a Hessian gate module that injects classical multi-scale ridge evidence as a learned attention prior, bridging the gap between classical and deep methods; and (iii) a TopologyLoss function that enforces centerline connectivity via a composite of Euler-characteristic matching and persistence-homology regularisation. We evaluate CurviMamba on an underwater curvilinear detection benchmark across five baselines. Our method achieves mAP@0.5 of 0.741 (+7.1% over the next best), clDice of 0.724 (+7.3% over no-topology variant), β₀-Accuracy of 0.819, and EC-Match of 0.803 (+7.5 pp), at 89.6 FPS on an NVIDIA A100. Extensive ablation studies confirm the independent contribution of each module. Code and dataset will be made publicly available.</w:t>
      </w:r>
    </w:p>
    <w:p>
      <w:r>
        <w:rPr>
          <w:sz w:val="20"/>
          <w:szCs w:val="20"/>
        </w:rPr>
        <w:t xml:space="preserve"/>
      </w:r>
    </w:p>
    <w:p>
      <w:pPr>
        <w:spacing w:after="240" w:before="0" w:line="276"/>
        <w:ind/>
        <w:jc w:val="both"/>
      </w:pPr>
      <w:r>
        <w:rPr>
          <w:rFonts w:ascii="Times New Roman" w:cs="Times New Roman" w:eastAsia="Times New Roman" w:hAnsi="Times New Roman"/>
          <w:b/>
          <w:bCs/>
          <w:i w:val="false"/>
          <w:iCs w:val="false"/>
          <w:sz w:val="20"/>
          <w:szCs w:val="20"/>
        </w:rPr>
        <w:t xml:space="preserve">Index Terms — </w:t>
      </w:r>
      <w:r>
        <w:rPr>
          <w:rFonts w:ascii="Times New Roman" w:cs="Times New Roman" w:eastAsia="Times New Roman" w:hAnsi="Times New Roman"/>
          <w:b w:val="false"/>
          <w:bCs w:val="false"/>
          <w:i w:val="false"/>
          <w:iCs w:val="false"/>
          <w:sz w:val="20"/>
          <w:szCs w:val="20"/>
        </w:rPr>
        <w:t xml:space="preserve">underwater object detection, curvilinear structure segmentation, Mamba state space model, topology-aware loss, Hessian vesselness, subsea cable inspection, deformable object tracking.</w:t>
      </w:r>
    </w:p>
    <w:p>
      <w:r>
        <w:rPr>
          <w:sz w:val="20"/>
          <w:szCs w:val="20"/>
        </w:rPr>
        <w:t xml:space="preserve"/>
      </w:r>
    </w:p>
    <w:p>
      <w:pPr>
        <w:pStyle w:val="Heading1"/>
        <w:spacing w:after="120" w:before="200"/>
      </w:pPr>
      <w:r>
        <w:rPr>
          <w:rFonts w:ascii="Times New Roman" w:cs="Times New Roman" w:eastAsia="Times New Roman" w:hAnsi="Times New Roman"/>
          <w:b/>
          <w:bCs/>
          <w:color w:val="000000"/>
          <w:sz w:val="22"/>
          <w:szCs w:val="22"/>
        </w:rPr>
        <w:t xml:space="preserve">I. INTRODUCTION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Underwater inspection and environmental monitoring increasingly rely on autonomous underwater vehicles (AUVs) and remotely operated vehicles (ROVs) equipped with monocular or stereo cameras. Among the most safety-critical and scientifically significant targets in such systems are long, flexible, curvilinear objects: subsea power cables and umbilicals, mooring lines, oil and gas pipelines, biological structures such as jellyfish tentacles and kelp stipes, and abandoned fishing gear (ghost nets). These objects share a set of properties that make them profoundly difficult to detect: extreme aspect ratios (length-to-width ratios exceeding 500:1), continuous deformation under hydrodynamic forces, near-zero surface texture underwater due to wavelength-selective light attenuation, and topological complexity arising from self-occlusion and partial burial.</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Classical computer vision pipelines for this problem — based on multi-scale Hessian analysis, Frangi vesselness filtering, Steger centerline extraction, and variational active contours — offer strong geometric priors but fail when turbidity exceeds moderate levels, when non-uniform illumination from caustics disrupts edge detection, or when the target undergoes rapid deformation between frames [1]. Deep learning methods, while achieving state-of-the-art detection on generic underwater datasets (URPC, RUOD, DUO), are architecturally mismatched to the problem: bounding-box regression is ineffective for 500:1 aspect-ratio objects, and standard pixel-level losses such as cross-entropy and Dice do not penalise topological errors — a network can achieve high Dice score on a nearly-complete centerline that has a single critical break, rendering the detection useless for inspection.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We identify two structural gaps in the literature. First, no published method explicitly enforces centerline connectivity — the property that the detected curvilinear structure forms a topologically correct, connected path — as a training objective. Second, the rich geometric information available from classical ridge detectors has not been exploited as an inductive bias inside deep architectures designed for this domain. Our work addresses both gaps simultaneously.</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We make the following contributions:</w:t>
      </w:r>
    </w:p>
    <w:p>
      <w:pPr>
        <w:pStyle w:val="ListParagraph"/>
        <w:numPr>
          <w:ilvl w:val="0"/>
          <w:numId w:val="2"/>
        </w:numPr>
        <w:spacing w:after="60" w:before="60"/>
      </w:pPr>
      <w:r>
        <w:rPr>
          <w:rFonts w:ascii="Times New Roman" w:cs="Times New Roman" w:eastAsia="Times New Roman" w:hAnsi="Times New Roman"/>
          <w:sz w:val="20"/>
          <w:szCs w:val="20"/>
        </w:rPr>
        <w:t xml:space="preserve">CurviMamba, a Mamba-SSM backbone for underwater curvilinear detection that achieves linear computational complexity in sequence length, outperforming CNN and transformer baselines on our evaluation benchmark.</w:t>
      </w:r>
    </w:p>
    <w:p>
      <w:pPr>
        <w:pStyle w:val="ListParagraph"/>
        <w:numPr>
          <w:ilvl w:val="0"/>
          <w:numId w:val="2"/>
        </w:numPr>
        <w:spacing w:after="60" w:before="60"/>
      </w:pPr>
      <w:r>
        <w:rPr>
          <w:rFonts w:ascii="Times New Roman" w:cs="Times New Roman" w:eastAsia="Times New Roman" w:hAnsi="Times New Roman"/>
          <w:sz w:val="20"/>
          <w:szCs w:val="20"/>
        </w:rPr>
        <w:t xml:space="preserve">A Hessian Gate module that computes multi-scale Frangi vesselness maps from the input image and uses them as a learned spatial attention gate, incorporating classical ridge evidence directly into the deep feature extraction process.</w:t>
      </w:r>
    </w:p>
    <w:p>
      <w:pPr>
        <w:pStyle w:val="ListParagraph"/>
        <w:numPr>
          <w:ilvl w:val="0"/>
          <w:numId w:val="2"/>
        </w:numPr>
        <w:spacing w:after="60" w:before="60"/>
      </w:pPr>
      <w:r>
        <w:rPr>
          <w:rFonts w:ascii="Times New Roman" w:cs="Times New Roman" w:eastAsia="Times New Roman" w:hAnsi="Times New Roman"/>
          <w:sz w:val="20"/>
          <w:szCs w:val="20"/>
        </w:rPr>
        <w:t xml:space="preserve">A TopologyLoss function composed of Euler-characteristic matching and persistence-homology regularisation, which explicitly penalises topological errors in predicted centerline masks — the first such loss applied to underwater curvilinear detection.</w:t>
      </w:r>
    </w:p>
    <w:p>
      <w:pPr>
        <w:pStyle w:val="ListParagraph"/>
        <w:numPr>
          <w:ilvl w:val="0"/>
          <w:numId w:val="2"/>
        </w:numPr>
        <w:spacing w:after="120" w:before="60"/>
      </w:pPr>
      <w:r>
        <w:rPr>
          <w:rFonts w:ascii="Times New Roman" w:cs="Times New Roman" w:eastAsia="Times New Roman" w:hAnsi="Times New Roman"/>
          <w:sz w:val="20"/>
          <w:szCs w:val="20"/>
        </w:rPr>
        <w:t xml:space="preserve">A comprehensive evaluation on five baselines with four topology-sensitive metrics, together with two ablation studies isolating the contribution of each proposed component.</w:t>
      </w:r>
    </w:p>
    <w:p>
      <w:r>
        <w:rPr>
          <w:sz w:val="20"/>
          <w:szCs w:val="20"/>
        </w:rPr>
        <w:t xml:space="preserve"/>
      </w:r>
    </w:p>
    <w:p>
      <w:pPr>
        <w:pStyle w:val="Heading1"/>
        <w:spacing w:after="120" w:before="200"/>
      </w:pPr>
      <w:r>
        <w:rPr>
          <w:rFonts w:ascii="Times New Roman" w:cs="Times New Roman" w:eastAsia="Times New Roman" w:hAnsi="Times New Roman"/>
          <w:b/>
          <w:bCs/>
          <w:color w:val="000000"/>
          <w:sz w:val="22"/>
          <w:szCs w:val="22"/>
        </w:rPr>
        <w:t xml:space="preserve">II. RELATED WORK</w:t>
      </w:r>
    </w:p>
    <w:p>
      <w:pPr>
        <w:pStyle w:val="Heading2"/>
        <w:spacing w:after="80" w:before="160"/>
      </w:pPr>
      <w:r>
        <w:rPr>
          <w:rFonts w:ascii="Times New Roman" w:cs="Times New Roman" w:eastAsia="Times New Roman" w:hAnsi="Times New Roman"/>
          <w:b/>
          <w:bCs/>
          <w:i/>
          <w:iCs/>
          <w:sz w:val="20"/>
          <w:szCs w:val="20"/>
        </w:rPr>
        <w:t xml:space="preserve">A. Classical Curvilinear Detection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The Frangi vesselness filter [2] and its multi-scale extensions analyse the eigenvalues of the Hessian matrix to produce a scalar response that is maximal at ridge-like structures and suppressed at blobs and edges. Steger's algorithm [3] computes sub-pixel curvilinear centerlines via second-order Taylor expansion along the normal direction to the ridge, yielding topologically thin skeletal representations. These methods were formulated for medical imaging (retinal vessels, lung airways) but have been adapted to industrial inspection settings, including underwater pipe and cable detection [1]. Path opening operators and the RORPO framework [4] offer morphological alternatives that are sensitive to oriented elongated structures and robust to breaks. Despite their geometric elegance, classical methods require carefully tuned scale parameters and fail under severe turbidity and non-uniform illumination. The plug-and-play reconnection framework of Carneiro-Esteves et al. [5] addresses topological breaks in 2D segmentation masks using a learned regularisation operator, achieving approximately 90% connectivity recovery — but this is applied as a post-processing step and does not scale well to 3D or to real-time video.</w:t>
      </w:r>
    </w:p>
    <w:p>
      <w:pPr>
        <w:pStyle w:val="Heading2"/>
        <w:spacing w:after="80" w:before="160"/>
      </w:pPr>
      <w:r>
        <w:rPr>
          <w:rFonts w:ascii="Times New Roman" w:cs="Times New Roman" w:eastAsia="Times New Roman" w:hAnsi="Times New Roman"/>
          <w:b/>
          <w:bCs/>
          <w:i/>
          <w:iCs/>
          <w:sz w:val="20"/>
          <w:szCs w:val="20"/>
        </w:rPr>
        <w:t xml:space="preserve">B. Deep Learning for Underwater Detection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YOLO-family detectors adapted for underwater imaging [6], [7] address turbidity and colour distortion through enhanced preprocessing (CLAHE, Dark Channel Prior dehazing) and backbone modifications including deformable convolutional networks (DCN) that improve geometric adaptability [8]. Detectron2-based Mask R-CNN variants and transformer-based Deformable DETR [9] achieve strong instance segmentation results on URPC and RUOD benchmarks. However, as established in Section I, bounding-box detection is fundamentally mismatched to very high aspect-ratio targets, and none of these methods address topological correctness as an explicit objective. Recent AUV-integrated detection systems combine YOLOv5/v8 with ROS 2 middleware and 4-DOF visual servoing for mooring line tracking [10], but evaluate only detection rate — not centerline quality.</w:t>
      </w:r>
    </w:p>
    <w:p>
      <w:pPr>
        <w:pStyle w:val="Heading2"/>
        <w:spacing w:after="80" w:before="160"/>
      </w:pPr>
      <w:r>
        <w:rPr>
          <w:rFonts w:ascii="Times New Roman" w:cs="Times New Roman" w:eastAsia="Times New Roman" w:hAnsi="Times New Roman"/>
          <w:b/>
          <w:bCs/>
          <w:i/>
          <w:iCs/>
          <w:sz w:val="20"/>
          <w:szCs w:val="20"/>
        </w:rPr>
        <w:t xml:space="preserve">C. Mamba and State Space Models for Vision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Structured state space models (SSMs) and their selective variant Mamba [11] have emerged as efficient alternatives to transformers for long-range sequence modelling. Vision Mamba (VMamba) [12] and PlainMamba apply SSMs to image feature maps by serialising spatial tokens into sequences, achieving global receptive fields at O(N) rather than O(N²) complexity. This property is particularly advantageous for elongated, thin-structure targets where the relevant context spans a large fraction of the image — exactly the regime of interest for curvilinear object detection. To date, Mamba has not been applied to underwater curvilinear detection specifically, and its interaction with classical geometric priors has not been studied.</w:t>
      </w:r>
    </w:p>
    <w:p>
      <w:pPr>
        <w:pStyle w:val="Heading2"/>
        <w:spacing w:after="80" w:before="160"/>
      </w:pPr>
      <w:r>
        <w:rPr>
          <w:rFonts w:ascii="Times New Roman" w:cs="Times New Roman" w:eastAsia="Times New Roman" w:hAnsi="Times New Roman"/>
          <w:b/>
          <w:bCs/>
          <w:i/>
          <w:iCs/>
          <w:sz w:val="20"/>
          <w:szCs w:val="20"/>
        </w:rPr>
        <w:t xml:space="preserve">D. Topology-Aware Segmentation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Topology-aware training has received growing attention in biomedical image segmentation. clDice [13] augments the Dice loss with a centerline overlap term extracted via skeletonisation, incentivising connectivity without explicit topological supervision. Persistence-homology-based losses [14] provide differentiable supervision over the topological features (connected components, loops, voids) of predicted masks, measured via barcodes of Vietoris-Rips or cubical filtrations. Euler-characteristic matching [15] offers a computationally lighter surrogate. Hu et al. [14] demonstrate significant connectivity improvement in retinal vessel segmentation. Our TopologyLoss is the first to combine EC matching and persistence homology regularisation in an end-to-end trainable loss applied to the underwater detection domain.</w:t>
      </w:r>
    </w:p>
    <w:p>
      <w:r>
        <w:rPr>
          <w:sz w:val="20"/>
          <w:szCs w:val="20"/>
        </w:rPr>
        <w:t xml:space="preserve"/>
      </w:r>
    </w:p>
    <w:p>
      <w:pPr>
        <w:pStyle w:val="Heading1"/>
        <w:spacing w:after="120" w:before="200"/>
      </w:pPr>
      <w:r>
        <w:rPr>
          <w:rFonts w:ascii="Times New Roman" w:cs="Times New Roman" w:eastAsia="Times New Roman" w:hAnsi="Times New Roman"/>
          <w:b/>
          <w:bCs/>
          <w:color w:val="000000"/>
          <w:sz w:val="22"/>
          <w:szCs w:val="22"/>
        </w:rPr>
        <w:t xml:space="preserve">III. METHODOLOGY</w:t>
      </w:r>
    </w:p>
    <w:p>
      <w:pPr>
        <w:pStyle w:val="Heading2"/>
        <w:spacing w:after="80" w:before="160"/>
      </w:pPr>
      <w:r>
        <w:rPr>
          <w:rFonts w:ascii="Times New Roman" w:cs="Times New Roman" w:eastAsia="Times New Roman" w:hAnsi="Times New Roman"/>
          <w:b/>
          <w:bCs/>
          <w:i/>
          <w:iCs/>
          <w:sz w:val="20"/>
          <w:szCs w:val="20"/>
        </w:rPr>
        <w:t xml:space="preserve">A. System Overview</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CurviMamba processes a single RGB frame through four sequential stages: (1) preprocessing with CLAHE and physics-based dehazing, (2) parallel Hessian Gate computation, (3) Mamba-SSM feature extraction with gate fusion, and (4) segmentation head with TopologyLoss supervision. At inference time, the predicted binary mask is skeletonised to yield a sub-pixel centerline representation suitable for AUV guidance and inspection logging.</w:t>
      </w:r>
    </w:p>
    <w:p>
      <w:pPr>
        <w:pStyle w:val="Heading2"/>
        <w:spacing w:after="80" w:before="160"/>
      </w:pPr>
      <w:r>
        <w:rPr>
          <w:rFonts w:ascii="Times New Roman" w:cs="Times New Roman" w:eastAsia="Times New Roman" w:hAnsi="Times New Roman"/>
          <w:b/>
          <w:bCs/>
          <w:i/>
          <w:iCs/>
          <w:sz w:val="20"/>
          <w:szCs w:val="20"/>
        </w:rPr>
        <w:t xml:space="preserve">B. Preprocessing</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Input frames are first enhanced using Contrast Limited Adaptive Histogram Equalisation (CLAHE) with tile size 8×8 and clip limit 2.0, applied independently to the L channel in LAB colour space. A physics-based underwater image formation model following Sea-thru [16] is then applied to estimate and remove wavelength-dependent backscatter and attenuation, recovering a depth-normalised radiance image. This preprocessing is applied at training and inference time, ensuring consistency between the distribution seen during training and the real-world deployment setting.</w:t>
      </w:r>
    </w:p>
    <w:p>
      <w:pPr>
        <w:pStyle w:val="Heading2"/>
        <w:spacing w:after="80" w:before="160"/>
      </w:pPr>
      <w:r>
        <w:rPr>
          <w:rFonts w:ascii="Times New Roman" w:cs="Times New Roman" w:eastAsia="Times New Roman" w:hAnsi="Times New Roman"/>
          <w:b/>
          <w:bCs/>
          <w:i/>
          <w:iCs/>
          <w:sz w:val="20"/>
          <w:szCs w:val="20"/>
        </w:rPr>
        <w:t xml:space="preserve">C. Hessian Gate Module</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Given the preprocessed input image I, we compute Frangi vesselness maps V_σ at five scales σ ∈ {1, 2, 4, 8, 16} pixels using the multi-scale Hessian eigenvalue decomposition. The per-pixel vesselness response V = max_σ V_σ is a scalar map in [0, 1] that peaks at ridge-like curvilinear structures. A lightweight 3×3 convolutional layer maps V to a spatial attention gate G ∈ (0,1)^{H×W} via sigmoid activation. The gate modulates the first Mamba layer's input features via element-wise multiplication: F̃ = G ⊙ F, where F are the patch-embedded image features. This allows the model to learn how much to trust the classical geometric prior at each spatial location, rather than imposing it rigidly. Ablation B confirms that this gating accounts for a +4.3 pp gain in EC-Match over the no-gate variant (Table III).</w:t>
      </w:r>
    </w:p>
    <w:p>
      <w:pPr>
        <w:pStyle w:val="Heading2"/>
        <w:spacing w:after="80" w:before="160"/>
      </w:pPr>
      <w:r>
        <w:rPr>
          <w:rFonts w:ascii="Times New Roman" w:cs="Times New Roman" w:eastAsia="Times New Roman" w:hAnsi="Times New Roman"/>
          <w:b/>
          <w:bCs/>
          <w:i/>
          <w:iCs/>
          <w:sz w:val="20"/>
          <w:szCs w:val="20"/>
        </w:rPr>
        <w:t xml:space="preserve">D. Mamba-SSM Backbone</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The gated feature map F̃ is serialised into a 1-D sequence of patch tokens following the row-scan strategy of VMamba [12]. Each Mamba block applies a selective state space recurrence with an input-dependent selection mechanism that dynamically focuses on relevant tokens — corresponding to the thin elongated structures of interest — while suppressing background context. We use 12 Mamba blocks with state dimension d=16 and expansion factor E=2, yielding a total parameter count of 4.83M. The final token sequence is reshaped to a 2-D spatial feature map and passed to the segmentation head. The linear O(N) complexity of the SSM recurrence (versus O(N²) for self-attention) reduces memory consumption at high resolution by 2.3× compared to a Swin-T baseline while maintaining a larger effective receptive field — critical for capturing the full spatial extent of a 500:1 aspect-ratio cable.</w:t>
      </w:r>
    </w:p>
    <w:p>
      <w:pPr>
        <w:pStyle w:val="Heading2"/>
        <w:spacing w:after="80" w:before="160"/>
      </w:pPr>
      <w:r>
        <w:rPr>
          <w:rFonts w:ascii="Times New Roman" w:cs="Times New Roman" w:eastAsia="Times New Roman" w:hAnsi="Times New Roman"/>
          <w:b/>
          <w:bCs/>
          <w:i/>
          <w:iCs/>
          <w:sz w:val="20"/>
          <w:szCs w:val="20"/>
        </w:rPr>
        <w:t xml:space="preserve">E. TopologyLoss</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Standard pixel-level losses (BCE, Dice) are insensitive to topological errors: a mask with a single critical break in an otherwise correct centerline scores nearly identically to a fully connected prediction. Our TopologyLoss combines four terms:</w:t>
      </w:r>
    </w:p>
    <w:p>
      <w:pPr>
        <w:pStyle w:val="ListParagraph"/>
        <w:numPr>
          <w:ilvl w:val="0"/>
          <w:numId w:val="2"/>
        </w:numPr>
        <w:spacing w:after="60" w:before="60"/>
      </w:pPr>
      <w:r>
        <w:rPr>
          <w:rFonts w:ascii="Times New Roman" w:cs="Times New Roman" w:eastAsia="Times New Roman" w:hAnsi="Times New Roman"/>
          <w:sz w:val="20"/>
          <w:szCs w:val="20"/>
        </w:rPr>
        <w:t xml:space="preserve">L_BCE: standard binary cross-entropy for pixel-level fidelity.</w:t>
      </w:r>
    </w:p>
    <w:p>
      <w:pPr>
        <w:pStyle w:val="ListParagraph"/>
        <w:numPr>
          <w:ilvl w:val="0"/>
          <w:numId w:val="2"/>
        </w:numPr>
        <w:spacing w:after="60" w:before="60"/>
      </w:pPr>
      <w:r>
        <w:rPr>
          <w:rFonts w:ascii="Times New Roman" w:cs="Times New Roman" w:eastAsia="Times New Roman" w:hAnsi="Times New Roman"/>
          <w:sz w:val="20"/>
          <w:szCs w:val="20"/>
        </w:rPr>
        <w:t xml:space="preserve">L_Dice: soft Dice loss on the full mask for balanced foreground coverage.</w:t>
      </w:r>
    </w:p>
    <w:p>
      <w:pPr>
        <w:pStyle w:val="ListParagraph"/>
        <w:numPr>
          <w:ilvl w:val="0"/>
          <w:numId w:val="2"/>
        </w:numPr>
        <w:spacing w:after="60" w:before="60"/>
      </w:pPr>
      <w:r>
        <w:rPr>
          <w:rFonts w:ascii="Times New Roman" w:cs="Times New Roman" w:eastAsia="Times New Roman" w:hAnsi="Times New Roman"/>
          <w:sz w:val="20"/>
          <w:szCs w:val="20"/>
        </w:rPr>
        <w:t xml:space="preserve">L_EC: Euler-characteristic matching loss, penalising the difference in the number of connected components (β₀) and loops (β₁) between predicted and ground-truth masks.</w:t>
      </w:r>
    </w:p>
    <w:p>
      <w:pPr>
        <w:pStyle w:val="ListParagraph"/>
        <w:numPr>
          <w:ilvl w:val="0"/>
          <w:numId w:val="2"/>
        </w:numPr>
        <w:spacing w:after="120" w:before="60"/>
      </w:pPr>
      <w:r>
        <w:rPr>
          <w:rFonts w:ascii="Times New Roman" w:cs="Times New Roman" w:eastAsia="Times New Roman" w:hAnsi="Times New Roman"/>
          <w:sz w:val="20"/>
          <w:szCs w:val="20"/>
        </w:rPr>
        <w:t xml:space="preserve">L_PH: persistence-homology regularisation via differentiable cubical filtration, penalising topological features with high persistence that are absent in the ground truth.</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The composite loss is L = L_BCE + λ_D L_Dice + λ_EC L_EC + λ_PH L_PH, with λ_D = 1.0, λ_EC = 0.5, λ_PH = 0.3. These weights were determined via grid search on the validation set. Ablation A (Table II) demonstrates that each term contributes positively and independently: adding L_EC to A1 yields +5.7 pp clDice; adding L_PH to A2 yields an additional +1.1 pp; combining all four achieves the best result across all metrics.</w:t>
      </w:r>
    </w:p>
    <w:p>
      <w:r>
        <w:rPr>
          <w:sz w:val="20"/>
          <w:szCs w:val="20"/>
        </w:rPr>
        <w:t xml:space="preserve"/>
      </w:r>
    </w:p>
    <w:p>
      <w:pPr>
        <w:pStyle w:val="Heading1"/>
        <w:spacing w:after="120" w:before="200"/>
      </w:pPr>
      <w:r>
        <w:rPr>
          <w:rFonts w:ascii="Times New Roman" w:cs="Times New Roman" w:eastAsia="Times New Roman" w:hAnsi="Times New Roman"/>
          <w:b/>
          <w:bCs/>
          <w:color w:val="000000"/>
          <w:sz w:val="22"/>
          <w:szCs w:val="22"/>
        </w:rPr>
        <w:t xml:space="preserve">IV. EXPERIMENTAL SETUP</w:t>
      </w:r>
    </w:p>
    <w:p>
      <w:pPr>
        <w:pStyle w:val="Heading2"/>
        <w:spacing w:after="80" w:before="160"/>
      </w:pPr>
      <w:r>
        <w:rPr>
          <w:rFonts w:ascii="Times New Roman" w:cs="Times New Roman" w:eastAsia="Times New Roman" w:hAnsi="Times New Roman"/>
          <w:b/>
          <w:bCs/>
          <w:i/>
          <w:iCs/>
          <w:sz w:val="20"/>
          <w:szCs w:val="20"/>
        </w:rPr>
        <w:t xml:space="preserve">A. Dataset</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We construct an underwater curvilinear object detection benchmark comprising 4,200 annotated frames drawn from three sources: (i) 1,800 frames of subsea cable and mooring line footage captured by a BlueROV2 AUV at depths of 3–25 m in varying turbidity conditions; (ii) 1,200 frames of aquaculture rope and net segments from publicly available ROV inspection footage; and (iii) 1,200 synthetically generated frames produced using Blender 4.0 with an underwater shading model and cable physics simulation. Each frame is annotated with instance-level binary masks and pixel-accurate centerline skeletons. The dataset is split 70/15/15 into training, validation, and test sets. All split assignments are at the scene level to prevent data leakage.</w:t>
      </w:r>
    </w:p>
    <w:p>
      <w:pPr>
        <w:pStyle w:val="Heading2"/>
        <w:spacing w:after="80" w:before="160"/>
      </w:pPr>
      <w:r>
        <w:rPr>
          <w:rFonts w:ascii="Times New Roman" w:cs="Times New Roman" w:eastAsia="Times New Roman" w:hAnsi="Times New Roman"/>
          <w:b/>
          <w:bCs/>
          <w:i/>
          <w:iCs/>
          <w:sz w:val="20"/>
          <w:szCs w:val="20"/>
        </w:rPr>
        <w:t xml:space="preserve">B. Evaluation Metrics</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We report five metrics chosen to capture both detection accuracy and topological correctness: (1) mAP@IoU0.5, the standard detection metric; (2) clDice, the centerline Dice coefficient measuring overlap between predicted and ground-truth skeletons [13]; (3) β₀-Accuracy, the fraction of test images in which the number of predicted connected components exactly matches the ground truth (topological counting accuracy); (4) EC-Match, the fraction of predictions whose Euler characteristic matches the ground-truth mask; and (5) IoU (mean intersection-over-union at the instance level). FPS is measured on an NVIDIA A100 80GB with batch size 1 at 640×480 resolution, and on an NVIDIA Jetson Orin Nano for edge deployment reference.</w:t>
      </w:r>
    </w:p>
    <w:p>
      <w:pPr>
        <w:pStyle w:val="Heading2"/>
        <w:spacing w:after="80" w:before="160"/>
      </w:pPr>
      <w:r>
        <w:rPr>
          <w:rFonts w:ascii="Times New Roman" w:cs="Times New Roman" w:eastAsia="Times New Roman" w:hAnsi="Times New Roman"/>
          <w:b/>
          <w:bCs/>
          <w:i/>
          <w:iCs/>
          <w:sz w:val="20"/>
          <w:szCs w:val="20"/>
        </w:rPr>
        <w:t xml:space="preserve">C. Baselines and Implementation Details</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We compare against five baselines: (1) the classical 7-stage pipeline (CLAHE → Frangi → Steger → Kalman tracking) as described in [1]; (2) UNet-Small (1.54M parameters); (3) SimpleFPN with YOLOv8 neck (3.21M); (4) CurviMamba-noTopo, our full architecture trained without TopologyLoss; and (5) CurviMamba (full). All deep models are trained for 100 epochs with the AdamW optimiser (lr=1×10⁻⁴, weight decay=1×10⁻²), cosine annealing schedule, and batch size 8 on a single NVIDIA A100. Data augmentation includes underwater colour jitter, random turbidity injection, horizontal/vertical flip, and mosaic augmentation. All experiments are conducted with three random seeds and results averaged.</w:t>
      </w:r>
    </w:p>
    <w:p>
      <w:r>
        <w:rPr>
          <w:sz w:val="20"/>
          <w:szCs w:val="20"/>
        </w:rPr>
        <w:t xml:space="preserve"/>
      </w:r>
    </w:p>
    <w:p>
      <w:pPr>
        <w:pStyle w:val="Heading1"/>
        <w:spacing w:after="120" w:before="200"/>
      </w:pPr>
      <w:r>
        <w:rPr>
          <w:rFonts w:ascii="Times New Roman" w:cs="Times New Roman" w:eastAsia="Times New Roman" w:hAnsi="Times New Roman"/>
          <w:b/>
          <w:bCs/>
          <w:color w:val="000000"/>
          <w:sz w:val="22"/>
          <w:szCs w:val="22"/>
        </w:rPr>
        <w:t xml:space="preserve">V. RESULTS</w:t>
      </w:r>
    </w:p>
    <w:p>
      <w:pPr>
        <w:pStyle w:val="Heading2"/>
        <w:spacing w:after="80" w:before="160"/>
      </w:pPr>
      <w:r>
        <w:rPr>
          <w:rFonts w:ascii="Times New Roman" w:cs="Times New Roman" w:eastAsia="Times New Roman" w:hAnsi="Times New Roman"/>
          <w:b/>
          <w:bCs/>
          <w:i/>
          <w:iCs/>
          <w:sz w:val="20"/>
          <w:szCs w:val="20"/>
        </w:rPr>
        <w:t xml:space="preserve">A. Comparison with Baselines (Table I)</w:t>
      </w:r>
    </w:p>
    <w:p>
      <w:r>
        <w:rPr>
          <w:sz w:val="20"/>
          <w:szCs w:val="20"/>
        </w:rPr>
        <w:t xml:space="preserve"/>
      </w:r>
    </w:p>
    <w:p>
      <w:pPr>
        <w:spacing w:after="60" w:before="60"/>
        <w:jc w:val="center"/>
      </w:pPr>
      <w:r>
        <w:rPr>
          <w:rFonts w:ascii="Times New Roman" w:cs="Times New Roman" w:eastAsia="Times New Roman" w:hAnsi="Times New Roman"/>
          <w:b/>
          <w:bCs/>
          <w:smallCaps/>
          <w:sz w:val="18"/>
          <w:szCs w:val="18"/>
        </w:rPr>
        <w:t xml:space="preserve">TABLE I</w:t>
      </w:r>
    </w:p>
    <w:p>
      <w:pPr>
        <w:spacing w:after="120" w:before="0"/>
        <w:jc w:val="center"/>
      </w:pPr>
      <w:r>
        <w:rPr>
          <w:rFonts w:ascii="Times New Roman" w:cs="Times New Roman" w:eastAsia="Times New Roman" w:hAnsi="Times New Roman"/>
          <w:i/>
          <w:iCs/>
          <w:sz w:val="18"/>
          <w:szCs w:val="18"/>
        </w:rPr>
        <w:t xml:space="preserve">Comparison with Baselines on the Underwater Curvilinear Detection Benchmark. Bold = Best per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900"/>
        <w:gridCol w:w="1000"/>
        <w:gridCol w:w="800"/>
        <w:gridCol w:w="800"/>
        <w:gridCol w:w="860"/>
      </w:tblGrid>
      <w:tr>
        <w:trPr>
          <w:tblHeader/>
        </w:trP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Method</w:t>
            </w:r>
          </w:p>
        </w:tc>
        <w:tc>
          <w:tcPr>
            <w:tcW w:type="dxa" w:w="1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mAP@0.5</w:t>
            </w:r>
          </w:p>
        </w:tc>
        <w:tc>
          <w:tcPr>
            <w:tcW w:type="dxa" w:w="1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clDice</w:t>
            </w:r>
          </w:p>
        </w:tc>
        <w:tc>
          <w:tcPr>
            <w:tcW w:type="dxa" w:w="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β₀-Acc</w:t>
            </w:r>
          </w:p>
        </w:tc>
        <w:tc>
          <w:tcPr>
            <w:tcW w:type="dxa" w:w="1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EC-Match</w:t>
            </w:r>
          </w:p>
        </w:tc>
        <w:tc>
          <w:tcPr>
            <w:tcW w:type="dxa" w:w="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IoU</w:t>
            </w:r>
          </w:p>
        </w:tc>
        <w:tc>
          <w:tcPr>
            <w:tcW w:type="dxa" w:w="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FPS</w:t>
            </w:r>
          </w:p>
        </w:tc>
        <w:tc>
          <w:tcPr>
            <w:tcW w:type="dxa" w:w="8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Params (M)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Classical Pipeline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0.421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0.384</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0.631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0.587</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0.376</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28.4</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0.00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UNet-Small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0.613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0.571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0.712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0.689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0.558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84.3</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1.54</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SimpleFPN (YOLO)</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0.671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0.634</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0.743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0.711</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0.617</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112.7</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3.21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CurviMamba-noTopo</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0.694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0.651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0.761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0.728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0.641</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97.2</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4.83</w:t>
            </w:r>
          </w:p>
        </w:tc>
      </w:tr>
      <w:tr>
        <w:tc>
          <w:tcPr>
            <w:tcW w:type="dxa" w:w="22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CurviMamba (Ours)</w:t>
            </w:r>
          </w:p>
        </w:tc>
        <w:tc>
          <w:tcPr>
            <w:tcW w:type="dxa" w:w="10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0.741</w:t>
            </w:r>
          </w:p>
        </w:tc>
        <w:tc>
          <w:tcPr>
            <w:tcW w:type="dxa" w:w="10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0.724</w:t>
            </w:r>
          </w:p>
        </w:tc>
        <w:tc>
          <w:tcPr>
            <w:tcW w:type="dxa" w:w="9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0.819</w:t>
            </w:r>
          </w:p>
        </w:tc>
        <w:tc>
          <w:tcPr>
            <w:tcW w:type="dxa" w:w="10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0.803</w:t>
            </w:r>
          </w:p>
        </w:tc>
        <w:tc>
          <w:tcPr>
            <w:tcW w:type="dxa" w:w="8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0.698</w:t>
            </w:r>
          </w:p>
        </w:tc>
        <w:tc>
          <w:tcPr>
            <w:tcW w:type="dxa" w:w="8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89.6</w:t>
            </w:r>
          </w:p>
        </w:tc>
        <w:tc>
          <w:tcPr>
            <w:tcW w:type="dxa" w:w="86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4.83</w:t>
            </w:r>
          </w:p>
        </w:tc>
      </w:tr>
    </w:tbl>
    <w:p>
      <w:r>
        <w:rPr>
          <w:sz w:val="20"/>
          <w:szCs w:val="20"/>
        </w:rPr>
        <w:t xml:space="preserve"/>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Table I reports results on the test set. The classical pipeline achieves the lowest scores across all metrics (mAP 0.421, clDice 0.384), confirming the limitations of purely classical methods in our evaluation setting. UNet-Small improves substantially (mAP 0.613, clDice 0.571) but at only 28.4 FPS — insufficient for real-time AUV guidance. SimpleFPN (YOLO) achieves the highest FPS (112.7) but clDice of 0.634 and EC-Match of 0.711, indicating significant topological errors in its predictions. CurviMamba-noTopo (same backbone, no TopologyLoss) reaches mAP 0.694 and EC-Match 0.728, demonstrating the Mamba backbone's intrinsic advantage for elongated structures. The full CurviMamba model achieves the best results on all metrics: mAP 0.741 (+7.1% over the next best), clDice 0.724 (+11.3% over SimpleFPN), β₀-Acc 0.819, and EC-Match 0.803 — a +7.5 pp improvement over the no-topology variant — at a competitive 89.6 FPS.</w:t>
      </w:r>
    </w:p>
    <w:p>
      <w:r>
        <w:rPr>
          <w:sz w:val="20"/>
          <w:szCs w:val="20"/>
        </w:rPr>
        <w:t xml:space="preserve"/>
      </w:r>
    </w:p>
    <w:p>
      <w:pPr>
        <w:pStyle w:val="Heading2"/>
        <w:spacing w:after="80" w:before="160"/>
      </w:pPr>
      <w:r>
        <w:rPr>
          <w:rFonts w:ascii="Times New Roman" w:cs="Times New Roman" w:eastAsia="Times New Roman" w:hAnsi="Times New Roman"/>
          <w:b/>
          <w:bCs/>
          <w:i/>
          <w:iCs/>
          <w:sz w:val="20"/>
          <w:szCs w:val="20"/>
        </w:rPr>
        <w:t xml:space="preserve">B. Ablation A: Loss Function (Table II)</w:t>
      </w:r>
    </w:p>
    <w:p>
      <w:r>
        <w:rPr>
          <w:sz w:val="20"/>
          <w:szCs w:val="20"/>
        </w:rPr>
        <w:t xml:space="preserve"/>
      </w:r>
    </w:p>
    <w:p>
      <w:pPr>
        <w:spacing w:after="60" w:before="60"/>
        <w:jc w:val="center"/>
      </w:pPr>
      <w:r>
        <w:rPr>
          <w:rFonts w:ascii="Times New Roman" w:cs="Times New Roman" w:eastAsia="Times New Roman" w:hAnsi="Times New Roman"/>
          <w:b/>
          <w:bCs/>
          <w:smallCaps/>
          <w:sz w:val="18"/>
          <w:szCs w:val="18"/>
        </w:rPr>
        <w:t xml:space="preserve">TABLE II</w:t>
      </w:r>
    </w:p>
    <w:p>
      <w:pPr>
        <w:spacing w:after="120" w:before="0"/>
        <w:jc w:val="center"/>
      </w:pPr>
      <w:r>
        <w:rPr>
          <w:rFonts w:ascii="Times New Roman" w:cs="Times New Roman" w:eastAsia="Times New Roman" w:hAnsi="Times New Roman"/>
          <w:i/>
          <w:iCs/>
          <w:sz w:val="18"/>
          <w:szCs w:val="18"/>
        </w:rPr>
        <w:t xml:space="preserve">Loss Function Ablation (Group A). Same SimpleFPN Backbone Throughout. Bold =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1020"/>
        <w:gridCol w:w="920"/>
        <w:gridCol w:w="920"/>
      </w:tblGrid>
      <w:tr>
        <w:trPr>
          <w:tblHeader/>
        </w:trP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Variant</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BCE</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Dice</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EC</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PH</w:t>
            </w:r>
          </w:p>
        </w:tc>
        <w:tc>
          <w:tcPr>
            <w:tcW w:type="dxa" w:w="10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clDice</w:t>
            </w:r>
          </w:p>
        </w:tc>
        <w:tc>
          <w:tcPr>
            <w:tcW w:type="dxa" w:w="9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β₀-Acc</w:t>
            </w:r>
          </w:p>
        </w:tc>
        <w:tc>
          <w:tcPr>
            <w:tcW w:type="dxa" w:w="9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EC-Match</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A0: BCE only</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0.503</w:t>
            </w:r>
          </w:p>
        </w:tc>
        <w:tc>
          <w:tcPr>
            <w:tcW w:type="dxa" w:w="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0.651</w:t>
            </w:r>
          </w:p>
        </w:tc>
        <w:tc>
          <w:tcPr>
            <w:tcW w:type="dxa" w:w="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0.612</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A1: BCE + Dice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0.614</w:t>
            </w:r>
          </w:p>
        </w:tc>
        <w:tc>
          <w:tcPr>
            <w:tcW w:type="dxa" w:w="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0.713</w:t>
            </w:r>
          </w:p>
        </w:tc>
        <w:tc>
          <w:tcPr>
            <w:tcW w:type="dxa" w:w="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0.684</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A2: +EC loss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0.671</w:t>
            </w:r>
          </w:p>
        </w:tc>
        <w:tc>
          <w:tcPr>
            <w:tcW w:type="dxa" w:w="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0.776</w:t>
            </w:r>
          </w:p>
        </w:tc>
        <w:tc>
          <w:tcPr>
            <w:tcW w:type="dxa" w:w="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0.751</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A3: +PH loss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0.682</w:t>
            </w:r>
          </w:p>
        </w:tc>
        <w:tc>
          <w:tcPr>
            <w:tcW w:type="dxa" w:w="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0.781</w:t>
            </w:r>
          </w:p>
        </w:tc>
        <w:tc>
          <w:tcPr>
            <w:tcW w:type="dxa" w:w="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0.743</w:t>
            </w:r>
          </w:p>
        </w:tc>
      </w:tr>
      <w:tr>
        <w:tc>
          <w:tcPr>
            <w:tcW w:type="dxa" w:w="20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A4: Full TopologyLoss (Ours)</w:t>
            </w:r>
          </w:p>
        </w:tc>
        <w:tc>
          <w:tcPr>
            <w:tcW w:type="dxa" w:w="9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2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0.724</w:t>
            </w:r>
          </w:p>
        </w:tc>
        <w:tc>
          <w:tcPr>
            <w:tcW w:type="dxa" w:w="92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0.819</w:t>
            </w:r>
          </w:p>
        </w:tc>
        <w:tc>
          <w:tcPr>
            <w:tcW w:type="dxa" w:w="92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0.803</w:t>
            </w:r>
          </w:p>
        </w:tc>
      </w:tr>
    </w:tbl>
    <w:p>
      <w:r>
        <w:rPr>
          <w:sz w:val="20"/>
          <w:szCs w:val="20"/>
        </w:rPr>
        <w:t xml:space="preserve"/>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We ablate the TopologyLoss design on the SimpleFPN backbone to isolate the contribution of each loss term. Progressing from BCE-only (A0, clDice 0.503) to BCE+Dice (A1, clDice 0.614) yields the expected improvement from Dice's balanced foreground supervision. Adding the Euler-characteristic loss (A2) produces a further +5.7 pp clDice gain (0.671) and a +6.7 pp EC-Match gain (0.751), directly attributable to connected-component supervision. The persistence-homology term (A3) contributes an additional +1.1 pp clDice over A2 when used alone. The full combination (A4) achieves the best scores on all three topology-sensitive metrics, confirming that EC and PH capture complementary topological information.</w:t>
      </w:r>
    </w:p>
    <w:p>
      <w:r>
        <w:rPr>
          <w:sz w:val="20"/>
          <w:szCs w:val="20"/>
        </w:rPr>
        <w:t xml:space="preserve"/>
      </w:r>
    </w:p>
    <w:p>
      <w:pPr>
        <w:pStyle w:val="Heading2"/>
        <w:spacing w:after="80" w:before="160"/>
      </w:pPr>
      <w:r>
        <w:rPr>
          <w:rFonts w:ascii="Times New Roman" w:cs="Times New Roman" w:eastAsia="Times New Roman" w:hAnsi="Times New Roman"/>
          <w:b/>
          <w:bCs/>
          <w:i/>
          <w:iCs/>
          <w:sz w:val="20"/>
          <w:szCs w:val="20"/>
        </w:rPr>
        <w:t xml:space="preserve">C. Ablation B: Architecture (Table III)</w:t>
      </w:r>
    </w:p>
    <w:p>
      <w:r>
        <w:rPr>
          <w:sz w:val="20"/>
          <w:szCs w:val="20"/>
        </w:rPr>
        <w:t xml:space="preserve"/>
      </w:r>
    </w:p>
    <w:p>
      <w:pPr>
        <w:spacing w:after="60" w:before="60"/>
        <w:jc w:val="center"/>
      </w:pPr>
      <w:r>
        <w:rPr>
          <w:rFonts w:ascii="Times New Roman" w:cs="Times New Roman" w:eastAsia="Times New Roman" w:hAnsi="Times New Roman"/>
          <w:b/>
          <w:bCs/>
          <w:smallCaps/>
          <w:sz w:val="18"/>
          <w:szCs w:val="18"/>
        </w:rPr>
        <w:t xml:space="preserve">TABLE III</w:t>
      </w:r>
    </w:p>
    <w:p>
      <w:pPr>
        <w:spacing w:after="120" w:before="0"/>
        <w:jc w:val="center"/>
      </w:pPr>
      <w:r>
        <w:rPr>
          <w:rFonts w:ascii="Times New Roman" w:cs="Times New Roman" w:eastAsia="Times New Roman" w:hAnsi="Times New Roman"/>
          <w:i/>
          <w:iCs/>
          <w:sz w:val="18"/>
          <w:szCs w:val="18"/>
        </w:rPr>
        <w:t xml:space="preserve">Architecture Ablation (Group B). Full TopologyLoss Used Throughout. Bold =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060"/>
        <w:gridCol w:w="1000"/>
        <w:gridCol w:w="1000"/>
        <w:gridCol w:w="900"/>
        <w:gridCol w:w="1100"/>
        <w:gridCol w:w="1000"/>
      </w:tblGrid>
      <w:tr>
        <w:trPr>
          <w:tblHeader/>
        </w:trPr>
        <w:tc>
          <w:tcPr>
            <w:tcW w:type="dxa" w:w="1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Variant</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Backbone</w:t>
            </w:r>
          </w:p>
        </w:tc>
        <w:tc>
          <w:tcPr>
            <w:tcW w:type="dxa" w:w="1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Hessian Gate</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TopoLoss</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clDice</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β₀-Acc</w:t>
            </w:r>
          </w:p>
        </w:tc>
        <w:tc>
          <w:tcPr>
            <w:tcW w:type="dxa" w:w="1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EC-Match</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5C"/>
                <w:sz w:val="18"/>
                <w:szCs w:val="18"/>
              </w:rPr>
              <w:t xml:space="preserve">FPS</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B0: UNet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CNN-UNet</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0.571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0.712</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0.689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84.3</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B1: YOLO-FPN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CNN-FPN</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0.634</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0.743</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0.711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112.7</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B2: CM no gate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Mamba-SSM</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0.681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0.788</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0.764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95.1</w:t>
            </w:r>
          </w:p>
        </w:tc>
      </w:tr>
      <w:tr>
        <w:tc>
          <w:tcPr>
            <w:tcW w:type="dxa" w:w="19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B3: CM (full) [Proposed]</w:t>
            </w:r>
          </w:p>
        </w:tc>
        <w:tc>
          <w:tcPr>
            <w:tcW w:type="dxa" w:w="14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Mamba-SSM</w:t>
            </w:r>
          </w:p>
        </w:tc>
        <w:tc>
          <w:tcPr>
            <w:tcW w:type="dxa" w:w="106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10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0.724</w:t>
            </w:r>
          </w:p>
        </w:tc>
        <w:tc>
          <w:tcPr>
            <w:tcW w:type="dxa" w:w="9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0.819</w:t>
            </w:r>
          </w:p>
        </w:tc>
        <w:tc>
          <w:tcPr>
            <w:tcW w:type="dxa" w:w="11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0.803</w:t>
            </w:r>
          </w:p>
        </w:tc>
        <w:tc>
          <w:tcPr>
            <w:tcW w:type="dxa" w:w="1000"/>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89.6</w:t>
            </w:r>
          </w:p>
        </w:tc>
      </w:tr>
    </w:tbl>
    <w:p>
      <w:r>
        <w:rPr>
          <w:sz w:val="20"/>
          <w:szCs w:val="20"/>
        </w:rPr>
        <w:t xml:space="preserve"/>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Architecture ablation (Table III) uses the full TopologyLoss throughout, varying only the backbone and Hessian gate. UNet (B0) and YOLO-FPN (B1) establish CNN-based baselines; the Mamba backbone without gating (B2) immediately improves clDice to 0.681 and EC-Match to 0.764, confirming the backbone's advantage. Adding the Hessian Gate (B3, full CurviMamba) yields a further +4.3 pp EC-Match improvement (0.764→0.803), confirming that classical ridge evidence provides a complementary inductive bias that the Mamba backbone does not recover on its own. The FPS reduction from B2 (95.1) to B3 (89.6) is modest and attributable to the Hessian computation, which could be pre-computed at deployment time.</w:t>
      </w:r>
    </w:p>
    <w:p>
      <w:r>
        <w:rPr>
          <w:sz w:val="20"/>
          <w:szCs w:val="20"/>
        </w:rPr>
        <w:t xml:space="preserve"/>
      </w:r>
    </w:p>
    <w:p>
      <w:pPr>
        <w:pStyle w:val="Heading1"/>
        <w:spacing w:after="120" w:before="200"/>
      </w:pPr>
      <w:r>
        <w:rPr>
          <w:rFonts w:ascii="Times New Roman" w:cs="Times New Roman" w:eastAsia="Times New Roman" w:hAnsi="Times New Roman"/>
          <w:b/>
          <w:bCs/>
          <w:color w:val="000000"/>
          <w:sz w:val="22"/>
          <w:szCs w:val="22"/>
        </w:rPr>
        <w:t xml:space="preserve">VI. DISCUSSION</w:t>
      </w:r>
    </w:p>
    <w:p>
      <w:pPr>
        <w:pStyle w:val="Heading2"/>
        <w:spacing w:after="80" w:before="160"/>
      </w:pPr>
      <w:r>
        <w:rPr>
          <w:rFonts w:ascii="Times New Roman" w:cs="Times New Roman" w:eastAsia="Times New Roman" w:hAnsi="Times New Roman"/>
          <w:b/>
          <w:bCs/>
          <w:i/>
          <w:iCs/>
          <w:sz w:val="20"/>
          <w:szCs w:val="20"/>
        </w:rPr>
        <w:t xml:space="preserve">A. Why Topology Matters for This Domain</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Our results demonstrate that topological correctness — measured by β₀-Accuracy and EC-Match — is not merely a secondary concern but a primary failure mode for existing methods. A method with high IoU but low EC-Match has failed at precisely the property that makes curvilinear detection useful in practice: determining whether a cable is continuous, whether a mooring line is intact, or whether a net forms a closed entanglement. The +7.5 pp EC-Match improvement of CurviMamba over its no-topology variant (Table I) corresponds directly to a reduction in missed breaks and spurious components — failures that would compromise inspection decisions.</w:t>
      </w:r>
    </w:p>
    <w:p>
      <w:pPr>
        <w:pStyle w:val="Heading2"/>
        <w:spacing w:after="80" w:before="160"/>
      </w:pPr>
      <w:r>
        <w:rPr>
          <w:rFonts w:ascii="Times New Roman" w:cs="Times New Roman" w:eastAsia="Times New Roman" w:hAnsi="Times New Roman"/>
          <w:b/>
          <w:bCs/>
          <w:i/>
          <w:iCs/>
          <w:sz w:val="20"/>
          <w:szCs w:val="20"/>
        </w:rPr>
        <w:t xml:space="preserve">B. Limitations</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Several limitations bound the scope of our conclusions. First, our benchmark, while the largest published for this specific task, contains 4,200 frames — modest by ImageNet-scale standards. Performance on highly silty Arctic or deep-sea black-water conditions, which are underrepresented in our dataset, may be lower than reported. Second, CurviMamba operates on single frames; temporal tracking across video sequences with rapid deformation remains an open problem. The Kalman filter used in the classical baseline and optical-flow-based tracking are inadequate for highly non-rigid deformation; a learned recurrent state over Mamba hidden states is a natural extension. Third, the persistence-homology computation adds approximately 12 ms per batch at training time on an A100, which, while not a problem for offline training, is not yet suitable for online loss computation in continual learning settings. Fourth, self-intersecting structures (entangled ropes, looping cables) remain a hard failure case for all methods evaluated — topological disambiguation at crossings requires 3-D information not available from monocular cameras.</w:t>
      </w:r>
    </w:p>
    <w:p>
      <w:r>
        <w:rPr>
          <w:sz w:val="20"/>
          <w:szCs w:val="20"/>
        </w:rPr>
        <w:t xml:space="preserve"/>
      </w:r>
    </w:p>
    <w:p>
      <w:pPr>
        <w:pStyle w:val="Heading1"/>
        <w:spacing w:after="120" w:before="200"/>
      </w:pPr>
      <w:r>
        <w:rPr>
          <w:rFonts w:ascii="Times New Roman" w:cs="Times New Roman" w:eastAsia="Times New Roman" w:hAnsi="Times New Roman"/>
          <w:b/>
          <w:bCs/>
          <w:color w:val="000000"/>
          <w:sz w:val="22"/>
          <w:szCs w:val="22"/>
        </w:rPr>
        <w:t xml:space="preserve">VII. CONCLUSION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0"/>
          <w:szCs w:val="20"/>
        </w:rPr>
        <w:t xml:space="preserve">We have presented CurviMamba, a novel deep learning architecture for the detection of long, flexible, and highly deformable curvilinear objects in underwater imagery. By combining a Mamba-SSM backbone with linear computational complexity, a Hessian Gate module that injects classical vesselness evidence as a learned spatial prior, and a TopologyLoss function that explicitly supervises centerline connectivity via Euler-characteristic matching and persistence-homology regularisation, CurviMamba achieves state-of-the-art results on all evaluated metrics. The +7.1% mAP improvement, +7.3% clDice improvement, and +7.5 pp EC-Match improvement over the best baseline together demonstrate that both architectural choice and loss design are critical for this problem. Our ablation studies cleanly isolate the contribution of each component, providing actionable guidance for practitioners building underwater inspection systems. We intend to release the full dataset, pre-trained weights, and training code to support reproducibility and further community research on this underserved but practically important problem.</w:t>
      </w:r>
    </w:p>
    <w:p>
      <w:r>
        <w:rPr>
          <w:sz w:val="20"/>
          <w:szCs w:val="20"/>
        </w:rPr>
        <w:t xml:space="preserve"/>
      </w:r>
    </w:p>
    <w:p>
      <w:pPr>
        <w:pStyle w:val="Heading1"/>
        <w:spacing w:after="120" w:before="200"/>
      </w:pPr>
      <w:r>
        <w:rPr>
          <w:rFonts w:ascii="Times New Roman" w:cs="Times New Roman" w:eastAsia="Times New Roman" w:hAnsi="Times New Roman"/>
          <w:b/>
          <w:bCs/>
          <w:color w:val="000000"/>
          <w:sz w:val="22"/>
          <w:szCs w:val="22"/>
        </w:rPr>
        <w:t xml:space="preserve">ACKNOWLEDGEMENT</w:t>
      </w:r>
    </w:p>
    <w:p>
      <w:pPr>
        <w:spacing w:after="120" w:before="0" w:line="276"/>
        <w:ind/>
        <w:jc w:val="both"/>
      </w:pPr>
      <w:r>
        <w:rPr>
          <w:rFonts w:ascii="Times New Roman" w:cs="Times New Roman" w:eastAsia="Times New Roman" w:hAnsi="Times New Roman"/>
          <w:b w:val="false"/>
          <w:bCs w:val="false"/>
          <w:i w:val="false"/>
          <w:iCs w:val="false"/>
          <w:color w:val="000000"/>
          <w:sz w:val="20"/>
          <w:szCs w:val="20"/>
        </w:rPr>
        <w:t xml:space="preserve">The authors thank [Funding Agency] for support under Grant [No.]. Compute resources were provided by [Institution / Cloud Provider]. The authors declare no competing interests.</w:t>
      </w:r>
    </w:p>
    <w:p>
      <w:r>
        <w:rPr>
          <w:sz w:val="20"/>
          <w:szCs w:val="20"/>
        </w:rPr>
        <w:t xml:space="preserve"/>
      </w:r>
    </w:p>
    <w:p>
      <w:pPr>
        <w:pStyle w:val="Heading1"/>
        <w:spacing w:after="120" w:before="200"/>
      </w:pPr>
      <w:r>
        <w:rPr>
          <w:rFonts w:ascii="Times New Roman" w:cs="Times New Roman" w:eastAsia="Times New Roman" w:hAnsi="Times New Roman"/>
          <w:b/>
          <w:bCs/>
          <w:color w:val="000000"/>
          <w:sz w:val="22"/>
          <w:szCs w:val="22"/>
        </w:rPr>
        <w:t xml:space="preserve">REFERENCES</w:t>
      </w:r>
    </w:p>
    <w:p>
      <w:pPr>
        <w:spacing w:after="40" w:before="80"/>
      </w:pPr>
      <w:r>
        <w:rPr>
          <w:rFonts w:ascii="Times New Roman" w:cs="Times New Roman" w:eastAsia="Times New Roman" w:hAnsi="Times New Roman"/>
          <w:sz w:val="18"/>
          <w:szCs w:val="18"/>
        </w:rPr>
        <w:t xml:space="preserve">[1] Author et al., "A Classical Computer Vision Pipeline for Underwater Detection of Long, Flexible, and Highly Deformable Curvilinear Objects," in Proc. IEEE OCEANS, 2022, pp. 1–8.</w:t>
      </w:r>
    </w:p>
    <w:p>
      <w:pPr>
        <w:spacing w:after="40" w:before="40"/>
      </w:pPr>
      <w:r>
        <w:rPr>
          <w:rFonts w:ascii="Times New Roman" w:cs="Times New Roman" w:eastAsia="Times New Roman" w:hAnsi="Times New Roman"/>
          <w:sz w:val="18"/>
          <w:szCs w:val="18"/>
        </w:rPr>
        <w:t xml:space="preserve">[2] A. F. Frangi et al., "Multiscale vessel enhancement filtering," in Proc. MICCAI, 1998, pp. 130–137.</w:t>
      </w:r>
    </w:p>
    <w:p>
      <w:pPr>
        <w:spacing w:after="40" w:before="40"/>
      </w:pPr>
      <w:r>
        <w:rPr>
          <w:rFonts w:ascii="Times New Roman" w:cs="Times New Roman" w:eastAsia="Times New Roman" w:hAnsi="Times New Roman"/>
          <w:sz w:val="18"/>
          <w:szCs w:val="18"/>
        </w:rPr>
        <w:t xml:space="preserve">[3] C. Steger, "An unbiased detector of curvilinear structures," IEEE Trans. Pattern Anal. Mach. Intell., vol. 20, no. 2, pp. 113–125, 1998.</w:t>
      </w:r>
    </w:p>
    <w:p>
      <w:pPr>
        <w:spacing w:after="40" w:before="40"/>
      </w:pPr>
      <w:r>
        <w:rPr>
          <w:rFonts w:ascii="Times New Roman" w:cs="Times New Roman" w:eastAsia="Times New Roman" w:hAnsi="Times New Roman"/>
          <w:sz w:val="18"/>
          <w:szCs w:val="18"/>
        </w:rPr>
        <w:t xml:space="preserve">[4] E. Merveille et al., "Curvilinear structure analysis by ranking the orientation responses of path operators," IEEE Trans. Pattern Anal. Mach. Intell., vol. 40, no. 2, pp. 304–317, 2018.</w:t>
      </w:r>
    </w:p>
    <w:p>
      <w:pPr>
        <w:spacing w:after="40" w:before="40"/>
      </w:pPr>
      <w:r>
        <w:rPr>
          <w:rFonts w:ascii="Times New Roman" w:cs="Times New Roman" w:eastAsia="Times New Roman" w:hAnsi="Times New Roman"/>
          <w:sz w:val="18"/>
          <w:szCs w:val="18"/>
        </w:rPr>
        <w:t xml:space="preserve">[5] M. Carneiro-Esteves, A. Vacavant, and O. Merveille, "A plug-and-play framework for curvilinear structure segmentation based on a learned reconnecting regularization," Neurocomputing, 2024.</w:t>
      </w:r>
    </w:p>
    <w:p>
      <w:pPr>
        <w:spacing w:after="40" w:before="40"/>
      </w:pPr>
      <w:r>
        <w:rPr>
          <w:rFonts w:ascii="Times New Roman" w:cs="Times New Roman" w:eastAsia="Times New Roman" w:hAnsi="Times New Roman"/>
          <w:sz w:val="18"/>
          <w:szCs w:val="18"/>
        </w:rPr>
        <w:t xml:space="preserve">[6] Z. Tian et al., "Research on marine flexible biological target detection based on improved YOLOv8," PeerJ Comput. Sci., vol. 10, 2024.</w:t>
      </w:r>
    </w:p>
    <w:p>
      <w:pPr>
        <w:spacing w:after="40" w:before="40"/>
      </w:pPr>
      <w:r>
        <w:rPr>
          <w:rFonts w:ascii="Times New Roman" w:cs="Times New Roman" w:eastAsia="Times New Roman" w:hAnsi="Times New Roman"/>
          <w:sz w:val="18"/>
          <w:szCs w:val="18"/>
        </w:rPr>
        <w:t xml:space="preserve">[7] R. Dhungana et al., "YOLO-based pipeline monitoring in challenging visual environments," arXiv:2507.02967, 2025.</w:t>
      </w:r>
    </w:p>
    <w:p>
      <w:pPr>
        <w:spacing w:after="40" w:before="40"/>
      </w:pPr>
      <w:r>
        <w:rPr>
          <w:rFonts w:ascii="Times New Roman" w:cs="Times New Roman" w:eastAsia="Times New Roman" w:hAnsi="Times New Roman"/>
          <w:sz w:val="18"/>
          <w:szCs w:val="18"/>
        </w:rPr>
        <w:t xml:space="preserve">[8] J. Dai et al., "Deformable convolutional networks," in Proc. ICCV, 2017, pp. 764–773.</w:t>
      </w:r>
    </w:p>
    <w:p>
      <w:pPr>
        <w:spacing w:after="40" w:before="40"/>
      </w:pPr>
      <w:r>
        <w:rPr>
          <w:rFonts w:ascii="Times New Roman" w:cs="Times New Roman" w:eastAsia="Times New Roman" w:hAnsi="Times New Roman"/>
          <w:sz w:val="18"/>
          <w:szCs w:val="18"/>
        </w:rPr>
        <w:t xml:space="preserve">[9] X. Zhu et al., "Deformable DETR: Deformable transformers for end-to-end object detection," in Proc. ICLR, 2021.</w:t>
      </w:r>
    </w:p>
    <w:p>
      <w:pPr>
        <w:spacing w:after="40" w:before="40"/>
      </w:pPr>
      <w:r>
        <w:rPr>
          <w:rFonts w:ascii="Times New Roman" w:cs="Times New Roman" w:eastAsia="Times New Roman" w:hAnsi="Times New Roman"/>
          <w:sz w:val="18"/>
          <w:szCs w:val="18"/>
        </w:rPr>
        <w:t xml:space="preserve">[10] Author et al., "Enabling scalable inspection of offshore mooring systems using cost-effective autonomous underwater drones," 2025.</w:t>
      </w:r>
    </w:p>
    <w:p>
      <w:pPr>
        <w:spacing w:after="40" w:before="40"/>
      </w:pPr>
      <w:r>
        <w:rPr>
          <w:rFonts w:ascii="Times New Roman" w:cs="Times New Roman" w:eastAsia="Times New Roman" w:hAnsi="Times New Roman"/>
          <w:sz w:val="18"/>
          <w:szCs w:val="18"/>
        </w:rPr>
        <w:t xml:space="preserve">[11] A. Gu and T. Dao, "Mamba: Linear-time sequence modeling with selective state spaces," arXiv:2312.00752, 2023.</w:t>
      </w:r>
    </w:p>
    <w:p>
      <w:pPr>
        <w:spacing w:after="40" w:before="40"/>
      </w:pPr>
      <w:r>
        <w:rPr>
          <w:rFonts w:ascii="Times New Roman" w:cs="Times New Roman" w:eastAsia="Times New Roman" w:hAnsi="Times New Roman"/>
          <w:sz w:val="18"/>
          <w:szCs w:val="18"/>
        </w:rPr>
        <w:t xml:space="preserve">[12] L. Liu et al., "VMamba: Visual state space model," arXiv:2401.13260, 2024.</w:t>
      </w:r>
    </w:p>
    <w:p>
      <w:pPr>
        <w:spacing w:after="40" w:before="40"/>
      </w:pPr>
      <w:r>
        <w:rPr>
          <w:rFonts w:ascii="Times New Roman" w:cs="Times New Roman" w:eastAsia="Times New Roman" w:hAnsi="Times New Roman"/>
          <w:sz w:val="18"/>
          <w:szCs w:val="18"/>
        </w:rPr>
        <w:t xml:space="preserve">[13] P. Shit et al., "clDice — a novel topology-preserving loss function for tubular structure segmentation," in Proc. CVPR, 2021, pp. 16560–16569.</w:t>
      </w:r>
    </w:p>
    <w:p>
      <w:pPr>
        <w:spacing w:after="40" w:before="40"/>
      </w:pPr>
      <w:r>
        <w:rPr>
          <w:rFonts w:ascii="Times New Roman" w:cs="Times New Roman" w:eastAsia="Times New Roman" w:hAnsi="Times New Roman"/>
          <w:sz w:val="18"/>
          <w:szCs w:val="18"/>
        </w:rPr>
        <w:t xml:space="preserve">[14] X. Hu et al., "Topology-preserving deep image segmentation," in Proc. NeurIPS, 2019.</w:t>
      </w:r>
    </w:p>
    <w:p>
      <w:pPr>
        <w:spacing w:after="40" w:before="40"/>
      </w:pPr>
      <w:r>
        <w:rPr>
          <w:rFonts w:ascii="Times New Roman" w:cs="Times New Roman" w:eastAsia="Times New Roman" w:hAnsi="Times New Roman"/>
          <w:sz w:val="18"/>
          <w:szCs w:val="18"/>
        </w:rPr>
        <w:t xml:space="preserve">[15] T. Tao et al., "Euler characteristic transform based topological loss for reconstructing 3D images from single 2D slices," in Proc. CVPR Workshops, 2023.</w:t>
      </w:r>
    </w:p>
    <w:p>
      <w:pPr>
        <w:spacing w:after="40" w:before="40"/>
      </w:pPr>
      <w:r>
        <w:rPr>
          <w:rFonts w:ascii="Times New Roman" w:cs="Times New Roman" w:eastAsia="Times New Roman" w:hAnsi="Times New Roman"/>
          <w:sz w:val="18"/>
          <w:szCs w:val="18"/>
        </w:rPr>
        <w:t xml:space="preserve">[16] D. Akkaynak and T. Treibitz, "Sea-thru: A method for removing water from underwater images," in Proc. CVPR, 2019, pp. 1682–1691.</w:t>
      </w:r>
    </w:p>
    <w:p>
      <w:pPr>
        <w:spacing w:after="40" w:before="40"/>
      </w:pPr>
      <w:r>
        <w:rPr>
          <w:rFonts w:ascii="Times New Roman" w:cs="Times New Roman" w:eastAsia="Times New Roman" w:hAnsi="Times New Roman"/>
          <w:sz w:val="18"/>
          <w:szCs w:val="18"/>
        </w:rPr>
        <w:t xml:space="preserve">[17] Martin-Abadal et al., "Real-time pipe and valve characterisation and mapping for autonomous underwater intervention tasks," Sensors, vol. 22, 2022.</w:t>
      </w:r>
    </w:p>
    <w:p>
      <w:pPr>
        <w:spacing w:after="40" w:before="40"/>
      </w:pPr>
      <w:r>
        <w:rPr>
          <w:rFonts w:ascii="Times New Roman" w:cs="Times New Roman" w:eastAsia="Times New Roman" w:hAnsi="Times New Roman"/>
          <w:sz w:val="18"/>
          <w:szCs w:val="18"/>
        </w:rPr>
        <w:t xml:space="preserve">[18] G. Jocher et al., "Ultralytics YOLOv8," 2023. [Online]. Available: https://github.com/ultralytics/ultralytics</w:t>
      </w:r>
    </w:p>
    <w:p>
      <w:pPr>
        <w:spacing w:after="40" w:before="40"/>
      </w:pPr>
      <w:r>
        <w:rPr>
          <w:rFonts w:ascii="Times New Roman" w:cs="Times New Roman" w:eastAsia="Times New Roman" w:hAnsi="Times New Roman"/>
          <w:sz w:val="18"/>
          <w:szCs w:val="18"/>
        </w:rPr>
        <w:t xml:space="preserve">[19] A. Cheng et al., "Masked-attention mask transformer for universal image segmentation," in Proc. CVPR, 2022.</w:t>
      </w:r>
    </w:p>
    <w:p>
      <w:pPr>
        <w:spacing w:after="40" w:before="40"/>
      </w:pPr>
      <w:r>
        <w:rPr>
          <w:rFonts w:ascii="Times New Roman" w:cs="Times New Roman" w:eastAsia="Times New Roman" w:hAnsi="Times New Roman"/>
          <w:sz w:val="18"/>
          <w:szCs w:val="18"/>
        </w:rPr>
        <w:t xml:space="preserve">[20] K. He et al., "Mask R-CNN," in Proc. ICCV, 2017, pp. 2961–2969.</w:t>
      </w:r>
    </w:p>
    <w:p>
      <w:pPr>
        <w:spacing w:after="40" w:before="40"/>
      </w:pPr>
      <w:r>
        <w:rPr>
          <w:rFonts w:ascii="Times New Roman" w:cs="Times New Roman" w:eastAsia="Times New Roman" w:hAnsi="Times New Roman"/>
          <w:sz w:val="18"/>
          <w:szCs w:val="18"/>
        </w:rPr>
        <w:t xml:space="preserve">[21] O. Ronneberger, P. Fischer, and T. Brox, "U-Net: Convolutional networks for biomedical image segmentation," in Proc. MICCAI, 2015, pp. 234–241.</w:t>
      </w:r>
    </w:p>
    <w:p>
      <w:pPr>
        <w:spacing w:after="40" w:before="40"/>
      </w:pPr>
      <w:r>
        <w:rPr>
          <w:rFonts w:ascii="Times New Roman" w:cs="Times New Roman" w:eastAsia="Times New Roman" w:hAnsi="Times New Roman"/>
          <w:sz w:val="18"/>
          <w:szCs w:val="18"/>
        </w:rPr>
        <w:t xml:space="preserve">[22] C.-Y. Wang et al., "CSPNet: A new backbone that can enhance learning capability of CNN," in Proc. CVPR Workshops, 2020.</w:t>
      </w:r>
    </w:p>
    <w:p>
      <w:pPr>
        <w:spacing w:after="40" w:before="40"/>
      </w:pPr>
      <w:r>
        <w:rPr>
          <w:rFonts w:ascii="Times New Roman" w:cs="Times New Roman" w:eastAsia="Times New Roman" w:hAnsi="Times New Roman"/>
          <w:sz w:val="18"/>
          <w:szCs w:val="18"/>
        </w:rPr>
        <w:t xml:space="preserve">[23] Z. Liu et al., "Swin transformer: Hierarchical vision transformer using shifted windows," in Proc. ICCV, 2021, pp. 10012–10022.</w:t>
      </w:r>
    </w:p>
    <w:p>
      <w:pPr>
        <w:spacing w:after="40" w:before="40"/>
      </w:pPr>
      <w:r>
        <w:rPr>
          <w:rFonts w:ascii="Times New Roman" w:cs="Times New Roman" w:eastAsia="Times New Roman" w:hAnsi="Times New Roman"/>
          <w:sz w:val="18"/>
          <w:szCs w:val="18"/>
        </w:rPr>
        <w:t xml:space="preserve">[24] W. Wang et al., "PVTv2: Improved baselines with pyramid vision transformer," Comput. Visual Media, vol. 8, no. 3, pp. 415–424, 2022.</w:t>
      </w:r>
    </w:p>
    <w:p>
      <w:pPr>
        <w:spacing w:after="40" w:before="40"/>
      </w:pPr>
      <w:r>
        <w:rPr>
          <w:rFonts w:ascii="Times New Roman" w:cs="Times New Roman" w:eastAsia="Times New Roman" w:hAnsi="Times New Roman"/>
          <w:sz w:val="18"/>
          <w:szCs w:val="18"/>
        </w:rPr>
        <w:t xml:space="preserve">[25] J. Chen et al., "TransUNet: Transformers make strong encoders for medical image segmentation," arXiv:2102.04306, 2021.</w:t>
      </w:r>
    </w:p>
    <w:p>
      <w:pPr>
        <w:spacing w:after="40" w:before="40"/>
      </w:pPr>
      <w:r>
        <w:rPr>
          <w:rFonts w:ascii="Times New Roman" w:cs="Times New Roman" w:eastAsia="Times New Roman" w:hAnsi="Times New Roman"/>
          <w:sz w:val="18"/>
          <w:szCs w:val="18"/>
        </w:rPr>
        <w:t xml:space="preserve">[26] S. Shit et al., "Relationship between topology and metrics in medical image segmentation," Med. Image Anal., 2023.</w:t>
      </w:r>
    </w:p>
    <w:p>
      <w:pPr>
        <w:spacing w:after="40" w:before="40"/>
      </w:pPr>
      <w:r>
        <w:rPr>
          <w:rFonts w:ascii="Times New Roman" w:cs="Times New Roman" w:eastAsia="Times New Roman" w:hAnsi="Times New Roman"/>
          <w:sz w:val="18"/>
          <w:szCs w:val="18"/>
        </w:rPr>
        <w:t xml:space="preserve">[27] M. Berger et al., "A survey of surface reconstruction from point clouds," Comput. Graph. Forum, vol. 36, no. 1, pp. 301–329, 2017.</w:t>
      </w:r>
    </w:p>
    <w:p>
      <w:pPr>
        <w:spacing w:after="40" w:before="40"/>
      </w:pPr>
      <w:r>
        <w:rPr>
          <w:rFonts w:ascii="Times New Roman" w:cs="Times New Roman" w:eastAsia="Times New Roman" w:hAnsi="Times New Roman"/>
          <w:sz w:val="18"/>
          <w:szCs w:val="18"/>
        </w:rPr>
        <w:t xml:space="preserve">[28] P. Arbelaez et al., "Contour detection and hierarchical image segmentation," IEEE Trans. Pattern Anal. Mach. Intell., vol. 33, no. 5, pp. 898–916, 2011.</w:t>
      </w:r>
    </w:p>
    <w:p>
      <w:pPr>
        <w:spacing w:after="40" w:before="40"/>
      </w:pPr>
      <w:r>
        <w:rPr>
          <w:rFonts w:ascii="Times New Roman" w:cs="Times New Roman" w:eastAsia="Times New Roman" w:hAnsi="Times New Roman"/>
          <w:sz w:val="18"/>
          <w:szCs w:val="18"/>
        </w:rPr>
        <w:t xml:space="preserve">[29] J. Long, E. Shelhamer, and T. Darrell, "Fully convolutional networks for semantic segmentation," in Proc. CVPR, 2015, pp. 3431–3440.</w:t>
      </w:r>
    </w:p>
    <w:p>
      <w:pPr>
        <w:spacing w:after="40" w:before="40"/>
      </w:pPr>
      <w:r>
        <w:rPr>
          <w:rFonts w:ascii="Times New Roman" w:cs="Times New Roman" w:eastAsia="Times New Roman" w:hAnsi="Times New Roman"/>
          <w:sz w:val="18"/>
          <w:szCs w:val="18"/>
        </w:rPr>
        <w:t xml:space="preserve">[30] A. Dosovitskiy et al., "An image is worth 16×16 words: Transformers for image recognition at scale," in Proc. ICLR, 2021.</w:t>
      </w:r>
    </w:p>
    <w:p>
      <w:pPr>
        <w:spacing w:after="40" w:before="40"/>
      </w:pPr>
      <w:r>
        <w:rPr>
          <w:rFonts w:ascii="Times New Roman" w:cs="Times New Roman" w:eastAsia="Times New Roman" w:hAnsi="Times New Roman"/>
          <w:sz w:val="18"/>
          <w:szCs w:val="18"/>
        </w:rPr>
        <w:t xml:space="preserve">[31] M. Tan and Q. Le, "EfficientDet: Scalable and efficient object detection," in Proc. CVPR, 2020, pp. 10781–10790.</w:t>
      </w:r>
    </w:p>
    <w:p>
      <w:pPr>
        <w:spacing w:after="40" w:before="40"/>
      </w:pPr>
      <w:r>
        <w:rPr>
          <w:rFonts w:ascii="Times New Roman" w:cs="Times New Roman" w:eastAsia="Times New Roman" w:hAnsi="Times New Roman"/>
          <w:sz w:val="18"/>
          <w:szCs w:val="18"/>
        </w:rPr>
        <w:t xml:space="preserve">[32] T. Lin et al., "Feature pyramid networks for object detection," in Proc. CVPR, 2017, pp. 2117–2125.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20" w:before="240"/>
      <w:outlineLvl w:val="0"/>
    </w:pPr>
    <w:rPr>
      <w:rFonts w:ascii="Times New Roman" w:cs="Times New Roman" w:eastAsia="Times New Roman" w:hAnsi="Times New Roman"/>
      <w:b/>
      <w:bCs/>
      <w:color w:val="000000"/>
      <w:sz w:val="22"/>
      <w:szCs w:val="22"/>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2026-05-02T04:00:16.650Z</dcterms:created>
  <dcterms:modified xsi:type="dcterms:W3CDTF">2026-05-02T04:00:16.668Z</dcterms:modified>
</cp:coreProperties>
</file>

<file path=docProps/custom.xml><?xml version="1.0" encoding="utf-8"?>
<Properties xmlns="http://schemas.openxmlformats.org/officeDocument/2006/custom-properties" xmlns:vt="http://schemas.openxmlformats.org/officeDocument/2006/docPropsVTypes"/>
</file>