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 booking middleware research</w:t>
      </w:r>
    </w:p>
    <w:p>
      <w:r>
        <w:t>Prepared for Pulkit Walia</w:t>
      </w:r>
    </w:p>
    <w:p>
      <w:r>
        <w:t>4 October 2026</w:t>
      </w:r>
    </w:p>
    <w:p>
      <w:pPr>
        <w:pStyle w:val="Heading1"/>
      </w:pPr>
      <w:r>
        <w:t>Executive decision</w:t>
      </w:r>
    </w:p>
    <w:p>
      <w:r>
        <w:t>Test demand and provider access before building a broad booking rail. The most promising first commercial experiment is a narrowly permissioned service for existing cleaning customers who need to reschedule, pause or restart service, or request an extra clean at an agreed price. This is a hypothesis to validate, not evidence that cleaning has the most agent demand or the largest missing API market.</w:t>
      </w:r>
    </w:p>
    <w:p>
      <w:r>
        <w:t xml:space="preserve">Several booking rails already exist. Housecall Pro documents service-aware availability and job creation; Square supports availability and booking lifecycle operations; OpenTable has a sophisticated partner rail; Calendly and OnceHub already publish agent scheduling tools. The unresolved problem is whether a new application can gain rights to genuinely bookable inventory, receive a reliable price, act with the customer's approval, and verify the final outcome across systems. </w:t>
      </w:r>
      <w:r>
        <w:t>[</w:t>
      </w:r>
      <w:hyperlink r:id="rId10">
        <w:r>
          <w:rPr>
            <w:color w:val="1D4E6C"/>
            <w:u w:val="single"/>
          </w:rPr>
          <w:t>HCP4</w:t>
        </w:r>
      </w:hyperlink>
      <w:r>
        <w:t xml:space="preserve">, </w:t>
      </w:r>
      <w:hyperlink r:id="rId11">
        <w:r>
          <w:rPr>
            <w:color w:val="1D4E6C"/>
            <w:u w:val="single"/>
          </w:rPr>
          <w:t>HCP5</w:t>
        </w:r>
      </w:hyperlink>
      <w:r>
        <w:t xml:space="preserve">, </w:t>
      </w:r>
      <w:hyperlink r:id="rId12">
        <w:r>
          <w:rPr>
            <w:color w:val="1D4E6C"/>
            <w:u w:val="single"/>
          </w:rPr>
          <w:t>SQ1</w:t>
        </w:r>
      </w:hyperlink>
      <w:r>
        <w:t xml:space="preserve">, </w:t>
      </w:r>
      <w:hyperlink r:id="rId13">
        <w:r>
          <w:rPr>
            <w:color w:val="1D4E6C"/>
            <w:u w:val="single"/>
          </w:rPr>
          <w:t>OT1</w:t>
        </w:r>
      </w:hyperlink>
      <w:r>
        <w:t xml:space="preserve">, </w:t>
      </w:r>
      <w:hyperlink r:id="rId14">
        <w:r>
          <w:rPr>
            <w:color w:val="1D4E6C"/>
            <w:u w:val="single"/>
          </w:rPr>
          <w:t>CAL2</w:t>
        </w:r>
      </w:hyperlink>
      <w:r>
        <w:t xml:space="preserve">, </w:t>
      </w:r>
      <w:hyperlink r:id="rId15">
        <w:r>
          <w:rPr>
            <w:color w:val="1D4E6C"/>
            <w:u w:val="single"/>
          </w:rPr>
          <w:t>CAL3</w:t>
        </w:r>
      </w:hyperlink>
      <w:r>
        <w:t xml:space="preserve">, </w:t>
      </w:r>
      <w:hyperlink r:id="rId16">
        <w:r>
          <w:rPr>
            <w:color w:val="1D4E6C"/>
            <w:u w:val="single"/>
          </w:rPr>
          <w:t>ONC3</w:t>
        </w:r>
      </w:hyperlink>
      <w:r>
        <w:t>]</w:t>
      </w:r>
      <w:r/>
    </w:p>
    <w:p>
      <w:r>
        <w:t>The available historical evidence does not establish consumer demand. The conversation retrieval contains 103 records, of which 102 were analyzed after one unrelated sensitive identity-text exclusion. This short, partially retrieved single-user sample contains zero explicit requests to execute a booking and three adjacent discovery or calendar episodes. Completion, phone-required and abandonment rates cannot be estimated from it.</w:t>
      </w:r>
    </w:p>
    <w:p>
      <w:r>
        <w:t>The Boston fieldwork inspects 15 public provider paths across five deliberately chosen categories. No bookings, quote requests, customer records, explicit inventory holds or payments were submitted. Some widgets auto-selected times; backend hold semantics were unverified. It can reveal particular menus, slot displays, intake gates and browser limitations. It cannot measure conversion, actual time to book, phone necessity, abandonment, production API reliability or the value a customer would pay for.</w:t>
      </w:r>
    </w:p>
    <w:p>
      <w:r>
        <w:t xml:space="preserve">For cleaning, recurring service is both an advantage and a threat to usage: once a schedule is established, most visits do not require another booking. Existing portals and supplier-native receptionists already handle some changes. The first experiment must therefore count real unresolved customer exceptions and compare against those tools. A Square-backed barber rebooking integration, limited to supported services with zero cancellation fees, is a useful technical control if cleaning access is unavailable. It still needs its own commercial case. </w:t>
      </w:r>
      <w:r>
        <w:t>[</w:t>
      </w:r>
      <w:hyperlink r:id="rId17">
        <w:r>
          <w:rPr>
            <w:color w:val="1D4E6C"/>
            <w:u w:val="single"/>
          </w:rPr>
          <w:t>C3</w:t>
        </w:r>
      </w:hyperlink>
      <w:r>
        <w:t xml:space="preserve">, </w:t>
      </w:r>
      <w:hyperlink r:id="rId18">
        <w:r>
          <w:rPr>
            <w:color w:val="1D4E6C"/>
            <w:u w:val="single"/>
          </w:rPr>
          <w:t>C4</w:t>
        </w:r>
      </w:hyperlink>
      <w:r>
        <w:t xml:space="preserve">, </w:t>
      </w:r>
      <w:hyperlink r:id="rId19">
        <w:r>
          <w:rPr>
            <w:color w:val="1D4E6C"/>
            <w:u w:val="single"/>
          </w:rPr>
          <w:t>C5</w:t>
        </w:r>
      </w:hyperlink>
      <w:r>
        <w:t xml:space="preserve">, </w:t>
      </w:r>
      <w:hyperlink r:id="rId20">
        <w:r>
          <w:rPr>
            <w:color w:val="1D4E6C"/>
            <w:u w:val="single"/>
          </w:rPr>
          <w:t>C6</w:t>
        </w:r>
      </w:hyperlink>
      <w:r>
        <w:t xml:space="preserve">, </w:t>
      </w:r>
      <w:hyperlink r:id="rId21">
        <w:r>
          <w:rPr>
            <w:color w:val="1D4E6C"/>
            <w:u w:val="single"/>
          </w:rPr>
          <w:t>C7</w:t>
        </w:r>
      </w:hyperlink>
      <w:r>
        <w:t xml:space="preserve">, </w:t>
      </w:r>
      <w:hyperlink r:id="rId22">
        <w:r>
          <w:rPr>
            <w:color w:val="1D4E6C"/>
            <w:u w:val="single"/>
          </w:rPr>
          <w:t>SQ2</w:t>
        </w:r>
      </w:hyperlink>
      <w:r>
        <w:t>]</w:t>
      </w:r>
      <w:r/>
    </w:p>
    <w:p>
      <w:r>
        <w:t>The immediate decision is to secure a distribution partner and three willing operators on one platform, verify rights and lifecycle behavior, and observe genuine authorized requests. Do not infer a viable marketplace from API documentation, local menu prices or three public paths per category.</w:t>
      </w:r>
    </w:p>
    <w:p>
      <w:pPr>
        <w:pStyle w:val="Heading2"/>
      </w:pPr>
      <w:r>
        <w:t>How to use this report</w:t>
      </w:r>
    </w:p>
    <w:p>
      <w:r>
        <w:t>The report explains the evidence, category judgments, product requirements and proposed go or no-go experiment. The companion workbook contains the complete category comparison, API access matrix, timed observation logs, source register, acceptance tests, measurement definitions and editable economic assumptions. Source identifiers beside claims link to the original pages. All research observations and source accesses are dated 4 October 2026 unless a publication date is stated.</w:t>
      </w:r>
    </w:p>
    <w:p>
      <w:r>
        <w:br w:type="page"/>
      </w:r>
    </w:p>
    <w:p>
      <w:pPr>
        <w:pStyle w:val="Heading1"/>
      </w:pPr>
      <w:r>
        <w:t>Scope and the questions answered</w:t>
      </w:r>
    </w:p>
    <w:p>
      <w:r>
        <w:t>The decision is whether to build an MCP-style booking rail that lets personal agents book services through providers' field-service or scheduling systems instead of using phone calls. A useful first segment needs repeated demand, sufficiently structured scope and price, attainable supply integrations, and a failure pattern that software can remove without taking on unbounded service operations.</w:t>
      </w:r>
    </w:p>
    <w:p>
      <w:r>
        <w:t>The commissioned brief has two parts. First, extract actual booking requests from the assistant's retained task history, rank categories by demand and report completion, phone and abandonment outcomes. Second, attempt three public booking paths in each of the five highest-demand categories in one metro and record their friction. The brief also calls for category scores, supply software, missing rails and the assistant's operating constraints. The report preserves these questions while separating answers the evidence supports from the questions that remain open.</w:t>
      </w:r>
    </w:p>
    <w:p>
      <w:r>
        <w:t>No buyer, revenue model or launch category was specified by the user. Segment recommendations, proposed validation thresholds and product design in this report are analytical proposals. Boston was selected as a convenient local market given the user's current context. It was not selected by a representative sampling procedure and is not a user-mandated market. The user's prior services operating experience is useful context for future interviews, but it is not evidence of demand or traction for this product. This investigation is separate from any acquisition or rollup thesis.</w:t>
      </w:r>
    </w:p>
    <w:tbl>
      <w:tblPr>
        <w:tblW w:type="auto" w:w="0"/>
        <w:jc w:val="center"/>
        <w:tblLayout w:type="fixed"/>
        <w:tblLook w:firstColumn="1" w:firstRow="1" w:lastColumn="0" w:lastRow="0" w:noHBand="0" w:noVBand="1" w:val="04A0"/>
      </w:tblPr>
      <w:tblGrid>
        <w:gridCol w:w="2419"/>
        <w:gridCol w:w="7718"/>
      </w:tblGrid>
      <w:tr>
        <w:trPr>
          <w:tblHeader w:val="true"/>
          <w:cantSplit/>
        </w:trPr>
        <w:tc>
          <w:tcPr>
            <w:tcW w:type="dxa" w:w="2419"/>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21384A"/>
          </w:tcPr>
          <w:p>
            <w:pPr>
              <w:spacing w:after="0" w:line="250" w:lineRule="auto"/>
            </w:pPr>
            <w:r>
              <w:rPr>
                <w:b/>
                <w:color w:val="FFFFFF"/>
                <w:sz w:val="18"/>
              </w:rPr>
              <w:t>Requested question</w:t>
            </w:r>
          </w:p>
        </w:tc>
        <w:tc>
          <w:tcPr>
            <w:tcW w:type="dxa" w:w="771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21384A"/>
          </w:tcPr>
          <w:p>
            <w:pPr>
              <w:spacing w:after="0" w:line="250" w:lineRule="auto"/>
            </w:pPr>
            <w:r>
              <w:rPr>
                <w:b/>
                <w:color w:val="FFFFFF"/>
                <w:sz w:val="18"/>
              </w:rPr>
              <w:t>What this investigation can provide</w:t>
            </w:r>
          </w:p>
        </w:tc>
      </w:tr>
      <w:tr>
        <w:trPr>
          <w:cantSplit/>
        </w:trPr>
        <w:tc>
          <w:tcPr>
            <w:tcW w:type="dxa" w:w="2419"/>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Prompt 1 A booking request universe</w:t>
            </w:r>
          </w:p>
        </w:tc>
        <w:tc>
          <w:tcPr>
            <w:tcW w:type="dxa" w:w="771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A bounded audit of accessible conversation records; no representative category ranking or valid rate denominator</w:t>
            </w:r>
          </w:p>
        </w:tc>
      </w:tr>
      <w:tr>
        <w:trPr>
          <w:cantSplit/>
        </w:trPr>
        <w:tc>
          <w:tcPr>
            <w:tcW w:type="dxa" w:w="2419"/>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Prompt 1 B category scores and supply software</w:t>
            </w:r>
          </w:p>
        </w:tc>
        <w:tc>
          <w:tcPr>
            <w:tcW w:type="dxa" w:w="771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Ten narrowly described category hypotheses with judgment scores, first-party menu examples and documented software/access constraints</w:t>
            </w:r>
          </w:p>
        </w:tc>
      </w:tr>
      <w:tr>
        <w:trPr>
          <w:cantSplit/>
        </w:trPr>
        <w:tc>
          <w:tcPr>
            <w:tcW w:type="dxa" w:w="2419"/>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Prompt 1 C missing rails and top ten</w:t>
            </w:r>
          </w:p>
        </w:tc>
        <w:tc>
          <w:tcPr>
            <w:tcW w:type="dxa" w:w="771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A conditional testing order and per-observation API counterfactuals; historical fallback counts and empirical pain ranking are unavailable</w:t>
            </w:r>
          </w:p>
        </w:tc>
      </w:tr>
      <w:tr>
        <w:trPr>
          <w:cantSplit/>
        </w:trPr>
        <w:tc>
          <w:tcPr>
            <w:tcW w:type="dxa" w:w="2419"/>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Prompt 1 D platform constraints</w:t>
            </w:r>
          </w:p>
        </w:tc>
        <w:tc>
          <w:tcPr>
            <w:tcW w:type="dxa" w:w="771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The verified operating envelope used in this investigation, with unexercised steps identified</w:t>
            </w:r>
          </w:p>
        </w:tc>
      </w:tr>
      <w:tr>
        <w:trPr>
          <w:cantSplit/>
        </w:trPr>
        <w:tc>
          <w:tcPr>
            <w:tcW w:type="dxa" w:w="2419"/>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Prompt 2 three attempts in five categories</w:t>
            </w:r>
          </w:p>
        </w:tc>
        <w:tc>
          <w:tcPr>
            <w:tcW w:type="dxa" w:w="771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Fifteen public, precommit observations in a purposive Boston sample; measured observation-to-stop elapsed rather than time to book</w:t>
            </w:r>
          </w:p>
        </w:tc>
      </w:tr>
      <w:tr>
        <w:trPr>
          <w:cantSplit/>
        </w:trPr>
        <w:tc>
          <w:tcPr>
            <w:tcW w:type="dxa" w:w="2419"/>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Convergence across two or three agent teams</w:t>
            </w:r>
          </w:p>
        </w:tc>
        <w:tc>
          <w:tcPr>
            <w:tcW w:type="dxa" w:w="771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Not performed; no external teams were contacted, and coordinated analysis within this study is not independent replication</w:t>
            </w:r>
          </w:p>
        </w:tc>
      </w:tr>
    </w:tbl>
    <w:p>
      <w:pPr>
        <w:spacing w:after="20"/>
      </w:pPr>
    </w:p>
    <w:p>
      <w:pPr>
        <w:pStyle w:val="Heading1"/>
      </w:pPr>
      <w:r>
        <w:t>Evidence and methodology</w:t>
      </w:r>
    </w:p>
    <w:p>
      <w:pPr>
        <w:tabs>
          <w:tab w:pos="360" w:val="left"/>
        </w:tabs>
        <w:ind w:left="360" w:hanging="360"/>
      </w:pPr>
      <w:r>
        <w:t>•</w:t>
        <w:tab/>
      </w:r>
      <w:r>
        <w:t>Measured means a count or observation from the defined accessible history or dated public-path inspection. It describes only that sample.</w:t>
      </w:r>
    </w:p>
    <w:p>
      <w:pPr>
        <w:tabs>
          <w:tab w:pos="360" w:val="left"/>
        </w:tabs>
        <w:ind w:left="360" w:hanging="360"/>
      </w:pPr>
      <w:r>
        <w:t>•</w:t>
        <w:tab/>
      </w:r>
      <w:r>
        <w:t>Documented means a claim supported by a named first-party provider or platform source. It does not mean an authenticated integration was exercised.</w:t>
      </w:r>
    </w:p>
    <w:p>
      <w:pPr>
        <w:tabs>
          <w:tab w:pos="360" w:val="left"/>
        </w:tabs>
        <w:ind w:left="360" w:hanging="360"/>
      </w:pPr>
      <w:r>
        <w:t>•</w:t>
        <w:tab/>
      </w:r>
      <w:r>
        <w:t>Analyst judgment means a hypothesis, 1 to 5 score, ranking or recommendation derived from the available evidence. It is not a measured market statistic.</w:t>
      </w:r>
    </w:p>
    <w:p>
      <w:pPr>
        <w:tabs>
          <w:tab w:pos="360" w:val="left"/>
        </w:tabs>
        <w:ind w:left="360" w:hanging="360"/>
      </w:pPr>
      <w:r>
        <w:t>•</w:t>
        <w:tab/>
      </w:r>
      <w:r>
        <w:t>Unavailable means the required evidence or denominator is absent. A missing value is not zero, a negative finding or a failed transaction.</w:t>
      </w:r>
    </w:p>
    <w:p>
      <w:r>
        <w:t>The history, live-path inspections, vendor documentation and analyst assessment are separate evidence streams. They are not pooled into one conversion rate. Agreement among analyses using the same sources is not independent replication across agent companies. No external agent teams were contacted, and no aggregate platform telemetry was available.</w:t>
      </w:r>
    </w:p>
    <w:p>
      <w:pPr>
        <w:pStyle w:val="Heading2"/>
      </w:pPr>
      <w:r>
        <w:t>Historical coverage and unit of analysis</w:t>
      </w:r>
    </w:p>
    <w:p>
      <w:r>
        <w:t>The requested window was the prior 90 days, beginning 6 July 2026 at approximately 20:20 UTC, or as far back as retained history permitted. The accessible conversation ran from 30 September 2026 at 05:58:51 UTC through 4 October 2026 at 20:20:07 UTC. The retrieval contained 103 records: 37 user records and 66 assistant records. One unrelated user record containing sensitive identity text was excluded before analysis. The analyzed extract therefore contains 102 records: 36 user and 66 assistant records, including two assistant records with null text. The excluded record was not a booking-execution request. It represents one user in one accessible conversation. Retrieval windows were marked partial, so the completeness of even this short interval is unverified and the count of omitted messages is unknown.</w:t>
      </w:r>
    </w:p>
    <w:p>
      <w:r>
        <w:t>A strict booking-execution request is an explicit instruction to create a reservation, appointment, time-slot commitment or scheduled meeting. Recommendations, availability searches, appointment-route discovery, walk-in advice, calendar cleanup and notifications of bookings made elsewhere are excluded from that count. An episode is one user objective, with related follow-ups deduplicated. The research request itself is not consumer booking demand.</w:t>
      </w:r>
    </w:p>
    <w:p>
      <w:r>
        <w:t>The audit found zero explicit booking-execution requests and zero assistant-confirmed provider bookings in the visible sample. It found three adjacent episodes: calendar-state cleanup, appointment-access guidance and adviser-route discovery. These adjacent episodes demonstrate workflow issues but provide no valid denominator for booking completion, phone necessity, abandonment, ticket size, recurring household demand or category popularity. The report does not interpret the zero observed requests as zero demand in the wider population.</w:t>
      </w:r>
    </w:p>
    <w:p>
      <w:r>
        <w:t>Only anonymized summaries needed for the research are reproduced. Raw personal conversation, identity-document details and unrelated personal records are excluded. The audit can be revisited with broader authorized evidence, but current gaps cannot be filled from inference.</w:t>
      </w:r>
    </w:p>
    <w:p>
      <w:pPr>
        <w:pStyle w:val="Heading2"/>
      </w:pPr>
      <w:r>
        <w:t>Public inspection design</w:t>
      </w:r>
    </w:p>
    <w:p>
      <w:r>
        <w:t>Because there is no measured top-five demand ranking, the five tested categories are purposive research hypotheses: home cleaning, routine auto service, beauty and barber appointments, pet grooming, and fitness. Three provider targets per category were planned in Boston or the nearby metro. The selected providers are a convenience sample of discoverable public paths. They are not a census, a random sample or a market-share-weighted selection.</w:t>
      </w:r>
    </w:p>
    <w:p>
      <w:r>
        <w:t>The inspections used public websites and booking widgets in the research cloud browser. They stopped before entering personal customer data, submitting a lead or quote request, accepting a commitment, deliberately creating a reservation or inventory hold, making a payment, or calling a provider. They therefore establish how far a public anonymous path can be inspected, rather than actual end-to-end completion or a provider's response to a genuine customer's request. Where permissions or the research browser prevented inspection, the result is labeled as a research-environment limitation.</w:t>
      </w:r>
    </w:p>
    <w:p>
      <w:r>
        <w:t>The planned protocol was to inspect each target's service selection, price disclosure, availability, customer-data gate and commitment boundary where reachable. Exact UTC start and stop times were recorded during inspection. Elapsed time runs from the first provider load to the observed stop state. It includes navigation, tool execution, review delays and any permitted retry. It excludes neither research overhead nor censored waiting, and it is not time to book, human customer effort or production-agent latency. Category medians are descriptive medians of those observation windows only.</w:t>
      </w:r>
    </w:p>
    <w:p>
      <w:r>
        <w:t>The original four requested outcome labels are too narrow for a noncommitting inspection. This report adds stopped before commitment, lead or quote form reached but not submitted, availability inspected, research environment blocked, and provider path unavailable. Confirmed requires a provider-side reservation identifier or equivalent authoritative evidence. Quote pending requires an actually submitted quote request. Abandoned requires an explicit user decision to abandon because of friction. None of those states can be inferred from a public probe ending.</w:t>
      </w:r>
    </w:p>
    <w:p>
      <w:r>
        <w:t>The common appointment window was 6 to 10 October 2026, two to six days after observation, with 6 October inspected first where the interface allowed it. Services, entry pages and customer-intake depth differed. Selected generic service parameters and a market ZIP could be entered where nonbinding. They do not establish a genuine customer, a validated address or confirmed local capacity. Supplemental checks are kept separate from the planned 15-provider sample rather than silently replacing a failed discovery path.</w:t>
      </w:r>
    </w:p>
    <w:p>
      <w:pPr>
        <w:pStyle w:val="Heading2"/>
      </w:pPr>
      <w:r>
        <w:t>Failure attribution and counterfactual limits</w:t>
      </w:r>
    </w:p>
    <w:p>
      <w:r>
        <w:t>A provider-side choke point is a visible provider workflow requirement, such as an estimate before price, required intake, membership eligibility or account login. A research-environment block is a tooling, permission or execution failure before the provider path can be inspected. An unknown cause remains unknown. A page failing to load in one environment is not enough to conclude that the provider has no booking system or that a phone call is necessary.</w:t>
      </w:r>
    </w:p>
    <w:p>
      <w:r>
        <w:t>The per-attempt statement of what an API might remove is a bounded counterfactual. An authorized endpoint could remove repeated navigation, copying fields, or checking state in a graphical interface when equivalent data and operations exist. It does not automatically resolve unspecified job scope, inaccurate inventory, unavailable staff, provider refusal, eligibility, terms, customer authentication, payment approval or provider reliability. A published API can coexist with a difficult consumer interface. A public interface can be simple while third-party API access remains commercially gated.</w:t>
      </w:r>
    </w:p>
    <w:p>
      <w:pPr>
        <w:pStyle w:val="Heading2"/>
      </w:pPr>
      <w:r>
        <w:t>Documentation and source access</w:t>
      </w:r>
    </w:p>
    <w:p>
      <w:r>
        <w:t>Official vendor documentation and provider pages are used for capability and policy claims. The source register identifies the URL, access date and what each source supports. Public documentation was read, but vendor credentials, paid plans, production merchant authorization and partner approvals were not provisioned. Endpoint descriptions establish documented capability; they do not establish access for this proposed company, commercial permission to aggregate supply, full field coverage or successful production performance.</w:t>
      </w:r>
    </w:p>
    <w:p>
      <w:r>
        <w:t>Prices shown on selected provider pages are local examples with the original service context, not category-wide typical tickets. Plan restrictions and APIs can change. Before committing engineering resources, request written confirmation of access, allowed use, customer ownership, payment responsibilities and required commercial terms from each target platform.</w:t>
      </w:r>
    </w:p>
    <w:p>
      <w:pPr>
        <w:pStyle w:val="Heading2"/>
      </w:pPr>
      <w:r>
        <w:t>Operating envelope</w:t>
      </w:r>
    </w:p>
    <w:p>
      <w:r>
        <w:t>The investigation used authorized read-only conversation review, public source research and cloud-browser inspection. It did not obtain developer accounts, production credentials or merchant grants; contact suppliers or independent agent teams; create customer accounts; place calls; send messages to providers; submit personal customer data; request a quote; deliberately reserve inventory; accept a purchase commitment; or pay. Some form defaults selected times without an explicit selection action, and backend hold behavior was not verified. A failed research-browser action was not treated as a provider refusal.</w:t>
      </w:r>
    </w:p>
    <w:p>
      <w:r>
        <w:t>Website interactions and email are possible within authorized scope. No third-party phone-calling tool was available in this session, so a call experiment could not be performed. These are the boundaries of this run. They do not establish universal capabilities or permissions across agent products. A production booking service must separately obtain merchant integration rights and customer approval for the specific action, data, price and policy. A working API cannot itself supply those permissions. Authentication or personal verification can still require the customer's involvement.</w:t>
      </w:r>
    </w:p>
    <w:p>
      <w:pPr>
        <w:pStyle w:val="Heading1"/>
      </w:pPr>
      <w:r>
        <w:t>Historical findings</w:t>
      </w:r>
    </w:p>
    <w:tbl>
      <w:tblPr>
        <w:tblW w:type="auto" w:w="0"/>
        <w:jc w:val="center"/>
        <w:tblLayout w:type="fixed"/>
        <w:tblLook w:firstColumn="1" w:firstRow="1" w:lastColumn="0" w:lastRow="0" w:noHBand="0" w:noVBand="1" w:val="04A0"/>
      </w:tblPr>
      <w:tblGrid>
        <w:gridCol w:w="1728"/>
        <w:gridCol w:w="2880"/>
        <w:gridCol w:w="5530"/>
      </w:tblGrid>
      <w:tr>
        <w:trPr>
          <w:tblHeader w:val="true"/>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21384A"/>
          </w:tcPr>
          <w:p>
            <w:pPr>
              <w:spacing w:after="0" w:line="250" w:lineRule="auto"/>
            </w:pPr>
            <w:r>
              <w:rPr>
                <w:b/>
                <w:color w:val="FFFFFF"/>
                <w:sz w:val="18"/>
              </w:rPr>
              <w:t>Episode</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21384A"/>
          </w:tcPr>
          <w:p>
            <w:pPr>
              <w:spacing w:after="0" w:line="250" w:lineRule="auto"/>
            </w:pPr>
            <w:r>
              <w:rPr>
                <w:b/>
                <w:color w:val="FFFFFF"/>
                <w:sz w:val="18"/>
              </w:rPr>
              <w:t>Observed issue</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21384A"/>
          </w:tcPr>
          <w:p>
            <w:pPr>
              <w:spacing w:after="0" w:line="250" w:lineRule="auto"/>
            </w:pPr>
            <w:r>
              <w:rPr>
                <w:b/>
                <w:color w:val="FFFFFF"/>
                <w:sz w:val="18"/>
              </w:rPr>
              <w:t>Relevance to a booking rail</w:t>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Calendar cleanup</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An obsolete imported calendar item disappeared after source/feed refresh; no deletion by the assistant was established</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Source of truth, write permissions and reconciliation matter; provider booking access alone would not make an imported calendar writable</w:t>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Appointment access</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An attended online session had no host response; an alternative visible appointment conflicted with the understood deadline; walk-in guidance was provided</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Availability and eligibility/deadline context help discovery; an API cannot staff the appointment or complete personal verification</w:t>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Adviser route discovery</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Authenticated course access and a local execution limit blocked lookup; the user supplied route information</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A directory can reduce copying; account access, execution limits and adviser choice remain distinct</w:t>
            </w:r>
          </w:p>
        </w:tc>
      </w:tr>
    </w:tbl>
    <w:p>
      <w:pPr>
        <w:spacing w:after="20"/>
      </w:pPr>
    </w:p>
    <w:p>
      <w:r>
        <w:t>These are three adjacent episodes, not three execution requests. Incoming calendar invitations, proactive assistant suggestions and confirmations of appointments made elsewhere were excluded. Repeated follow-ups were deduplicated into the original objective. Silence was not coded as abandonment. No episode establishes a provider-required phone call, a completed paid service or repeated agent demand.</w:t>
      </w:r>
    </w:p>
    <w:p>
      <w:r>
        <w:t>The measured finding is the content of this accessible sample. The unavailable results are 90-day request volume, category shares, unique booking requesters over a complete window, no-phone completion, phone-required share, friction-driven abandonment, household recurrence, ticket distributions and missing-rail fallback counts. The correct next step is prospective instrumentation, not filling the missing cells with estimates.</w:t>
      </w:r>
    </w:p>
    <w:p>
      <w:pPr>
        <w:pStyle w:val="Heading1"/>
      </w:pPr>
      <w:r>
        <w:t>Public booking path observations</w:t>
      </w:r>
    </w:p>
    <w:p>
      <w:r>
        <w:t>Fifteen core provider paths were inspected on 4 October 2026, three per category. One additional search-discovered barber listing was permanently removed and is retained as a supplemental observation. One later ZIP-field check supplements the Maid Sailors record. Neither supplement is added to the 15-provider headline denominator.</w:t>
      </w:r>
    </w:p>
    <w:p>
      <w:pPr>
        <w:pStyle w:val="Heading2"/>
      </w:pPr>
      <w:r>
        <w:t>What was visible before commitment</w:t>
      </w:r>
    </w:p>
    <w:p>
      <w:r>
        <w:t>Five of 15 core paths displayed dated service-time choices: all three barbers, Firestone and Maid Sailors. The Maid Sailors display was not verified as localized Boston inventory. Two additional fitness paths displayed dated class timetables, which do not establish available reservable seats. The remaining eight paths did not expose usable dated times before the inspection stopped. These counts describe observed interfaces, not booking success or market coverage.</w:t>
      </w:r>
    </w:p>
    <w:p>
      <w:r>
        <w:t>Three barber paths showed service-menu prices, two cleaning paths showed conditional form totals, and Petco showed a starting price. Nine paths did not reveal the requested scenario's service price. Pricing and schedule counts overlap; they must not be added. Authentication gates were explicit on PetSmart, Onyva and the YMCA reservation path. Petco displayed a CAPTCHA. Three research-approval interruptions recovered, so no core observation ended solely because of that research permission issue. The CAPTCHA remained a distinct site verification gate.</w:t>
      </w:r>
    </w:p>
    <w:p>
      <w:r>
        <w:t>Eight named scheduling products were observed across eight core providers: Launch27, BookingKoala, Booksy, SQUIRE, Square Appointments, Xtime, upace and Momence. The other seven underlying booking systems were not verified. Web-design attribution, a payment widget or a bot-screening vendor was not counted as a scheduling product. The absence of a repeated named scheduler does not establish fully independent provider infrastructure.</w:t>
      </w:r>
    </w:p>
    <w:p>
      <w:pPr>
        <w:pStyle w:val="Heading2"/>
      </w:pPr>
      <w:r>
        <w:t>Per provider evidence</w:t>
      </w:r>
    </w:p>
    <w:p>
      <w:r>
        <w:t>Every row is a public observation with unknown completion. Prices are USD. The final column is a hypothesis about a permissioned API's benefit; no API was tested in these paths. The workbook preserves exact UTC times, ordered steps, software attribution, endpoint state, sources and limits for every attempt.</w:t>
      </w:r>
    </w:p>
    <w:tbl>
      <w:tblPr>
        <w:tblW w:type="auto" w:w="0"/>
        <w:jc w:val="center"/>
        <w:tblLayout w:type="fixed"/>
        <w:tblLook w:firstColumn="1" w:firstRow="1" w:lastColumn="0" w:lastRow="0" w:noHBand="0" w:noVBand="1" w:val="04A0"/>
      </w:tblPr>
      <w:tblGrid>
        <w:gridCol w:w="1728"/>
        <w:gridCol w:w="2880"/>
        <w:gridCol w:w="5530"/>
      </w:tblGrid>
      <w:tr>
        <w:trPr>
          <w:tblHeader w:val="true"/>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21384A"/>
          </w:tcPr>
          <w:p>
            <w:pPr>
              <w:spacing w:after="0" w:line="250" w:lineRule="auto"/>
            </w:pPr>
            <w:r>
              <w:rPr>
                <w:b/>
                <w:color w:val="FFFFFF"/>
                <w:sz w:val="18"/>
              </w:rPr>
              <w:t>Provider and ID</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21384A"/>
          </w:tcPr>
          <w:p>
            <w:pPr>
              <w:spacing w:after="0" w:line="250" w:lineRule="auto"/>
            </w:pPr>
            <w:r>
              <w:rPr>
                <w:b/>
                <w:color w:val="FFFFFF"/>
                <w:sz w:val="18"/>
              </w:rPr>
              <w:t>Price and date evidence</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21384A"/>
          </w:tcPr>
          <w:p>
            <w:pPr>
              <w:spacing w:after="0" w:line="250" w:lineRule="auto"/>
            </w:pPr>
            <w:r>
              <w:rPr>
                <w:b/>
                <w:color w:val="FFFFFF"/>
                <w:sz w:val="18"/>
              </w:rPr>
              <w:t>Observed stop and API implication</w:t>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Maid Sailors C1</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$174.21 conditional total for one-bedroom, one-time clean; 6 October time choices</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 xml:space="preserve">Stopped before contact/address/card and final action. Generic multi-city form was not proven Boston-localized. API could normalize scope/price/time lookup; localization, approval and confirmation remain </w:t>
            </w:r>
            <w:r>
              <w:rPr>
                <w:sz w:val="18"/>
              </w:rPr>
              <w:t>[</w:t>
            </w:r>
            <w:hyperlink r:id="rId23">
              <w:r>
                <w:rPr>
                  <w:color w:val="1D4E6C"/>
                  <w:u w:val="single"/>
                </w:rPr>
                <w:t>LIVE-C1</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MaidPro Boston Downtown C2</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No scenario price or dated inventory</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 xml:space="preserve">Required contact details at quote form. No quote submitted or pending. Structured intake alone would not create a firm price or supplier commitment </w:t>
            </w:r>
            <w:r>
              <w:rPr>
                <w:sz w:val="18"/>
              </w:rPr>
              <w:t>[</w:t>
            </w:r>
            <w:hyperlink r:id="rId24">
              <w:r>
                <w:rPr>
                  <w:color w:val="1D4E6C"/>
                  <w:u w:val="single"/>
                </w:rPr>
                <w:t>LIVE-C2</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Unmess C3</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$150 after one-bedroom selection; no usable time choices returned</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 xml:space="preserve">Calendar interaction had an unresolved result without explicit sold-out or area-rejection message. API could return explicit eligibility/capacity status; actual cause and available capacity remain unknown </w:t>
            </w:r>
            <w:r>
              <w:rPr>
                <w:sz w:val="18"/>
              </w:rPr>
              <w:t>[</w:t>
            </w:r>
            <w:hyperlink r:id="rId25">
              <w:r>
                <w:rPr>
                  <w:color w:val="1D4E6C"/>
                  <w:u w:val="single"/>
                </w:rPr>
                <w:t>LIVE-C3</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LoGrasso's beauty_01</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$35 haircut menu; 6 October time choices</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 xml:space="preserve">Stopped before Continue. Booksy normalized fields could remove interface traversal, but deeper identity/payment and acceptance remain untested </w:t>
            </w:r>
            <w:r>
              <w:rPr>
                <w:sz w:val="18"/>
              </w:rPr>
              <w:t>[</w:t>
            </w:r>
            <w:hyperlink r:id="rId26">
              <w:r>
                <w:rPr>
                  <w:color w:val="1D4E6C"/>
                  <w:u w:val="single"/>
                </w:rPr>
                <w:t>LIVE-beauty_01</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Mr Suazo's Malden beauty_02</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$40 menu/subtotal; 6 October time choices</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 xml:space="preserve">Stopped without selecting a time. SQUIRE displayed options; API access and final commercial conditions were not tested </w:t>
            </w:r>
            <w:r>
              <w:rPr>
                <w:sz w:val="18"/>
              </w:rPr>
              <w:t>[</w:t>
            </w:r>
            <w:hyperlink r:id="rId27">
              <w:r>
                <w:rPr>
                  <w:color w:val="1D4E6C"/>
                  <w:u w:val="single"/>
                </w:rPr>
                <w:t>LIVE-beauty_02</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Barbershop Deluxe beauty_03</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$50 haircut/fade menu; one displayed time at 3:15 p.m. on 6 October</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 xml:space="preserve">Stopped before time selection or waitlist. Square is technically documented elsewhere; this merchant's consent and booking policy remain unverified </w:t>
            </w:r>
            <w:r>
              <w:rPr>
                <w:sz w:val="18"/>
              </w:rPr>
              <w:t>[</w:t>
            </w:r>
            <w:hyperlink r:id="rId28">
              <w:r>
                <w:rPr>
                  <w:color w:val="1D4E6C"/>
                  <w:u w:val="single"/>
                </w:rPr>
                <w:t>LIVE-beauty_03</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Petco Brighton pet_01</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Grooming starting at $38; no pet-specific quote or times</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 xml:space="preserve">DataDome interactive verification blocked progression. API could avoid this interface only with authorized access; pet scope and eligibility still matter </w:t>
            </w:r>
            <w:r>
              <w:rPr>
                <w:sz w:val="18"/>
              </w:rPr>
              <w:t>[</w:t>
            </w:r>
            <w:hyperlink r:id="rId29">
              <w:r>
                <w:rPr>
                  <w:color w:val="1D4E6C"/>
                  <w:u w:val="single"/>
                </w:rPr>
                <w:t>LIVE-pet_01</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PetSmart Cambridge pet_02</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No quote or dates before sign-in</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 xml:space="preserve">Account login/create-account modal; estimated prices require sign-in. Authentication and pet profile are inherited requirements, not proof of a missing API </w:t>
            </w:r>
            <w:r>
              <w:rPr>
                <w:sz w:val="18"/>
              </w:rPr>
              <w:t>[</w:t>
            </w:r>
            <w:hyperlink r:id="rId30">
              <w:r>
                <w:rPr>
                  <w:color w:val="1D4E6C"/>
                  <w:u w:val="single"/>
                </w:rPr>
                <w:t>LIVE-pet_02</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Onyva Boston pet_03</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No public quote or dates</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 xml:space="preserve">Login/register screen. Returning-customer profile reuse could help, but the underlying platform and API rights were unverified </w:t>
            </w:r>
            <w:r>
              <w:rPr>
                <w:sz w:val="18"/>
              </w:rPr>
              <w:t>[</w:t>
            </w:r>
            <w:hyperlink r:id="rId31">
              <w:r>
                <w:rPr>
                  <w:color w:val="1D4E6C"/>
                  <w:u w:val="single"/>
                </w:rPr>
                <w:t>LIVE-pet_03</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Firestone Boston A1</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Oil-change date/time selector; no vehicle-specific total</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 xml:space="preserve">Vehicle and contact data required; appointment request disabled. API could structure those inputs, but displayed time is not accepted service capacity </w:t>
            </w:r>
            <w:r>
              <w:rPr>
                <w:sz w:val="18"/>
              </w:rPr>
              <w:t>[</w:t>
            </w:r>
            <w:hyperlink r:id="rId32">
              <w:r>
                <w:rPr>
                  <w:color w:val="1D4E6C"/>
                  <w:u w:val="single"/>
                </w:rPr>
                <w:t>LIVE-A1</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Jiffy Lube Dorchester A2</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Coupon only; no service price or slots</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 xml:space="preserve">Estimate initiation required preferred store and vehicle. Official Boston page says no appointment necessary; queue/price access may be more useful than a reservation rail </w:t>
            </w:r>
            <w:r>
              <w:rPr>
                <w:sz w:val="18"/>
              </w:rPr>
              <w:t>[</w:t>
            </w:r>
            <w:hyperlink r:id="rId33">
              <w:r>
                <w:rPr>
                  <w:color w:val="1D4E6C"/>
                  <w:u w:val="single"/>
                </w:rPr>
                <w:t>LIVE-A2</w:t>
              </w:r>
            </w:hyperlink>
            <w:r>
              <w:rPr>
                <w:sz w:val="18"/>
              </w:rPr>
              <w:t xml:space="preserve">, </w:t>
            </w:r>
            <w:hyperlink r:id="rId34">
              <w:r>
                <w:rPr>
                  <w:color w:val="1D4E6C"/>
                  <w:u w:val="single"/>
                </w:rPr>
                <w:t>LIVE-JL</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Parkway Toyota A3</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No service price or dates reached</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 xml:space="preserve">Xtime required make/year/model/mileage first. Authorized vehicle-profile reuse could remove re-entry; consumer price/capacity and write access remain unverified </w:t>
            </w:r>
            <w:r>
              <w:rPr>
                <w:sz w:val="18"/>
              </w:rPr>
              <w:t>[</w:t>
            </w:r>
            <w:hyperlink r:id="rId35">
              <w:r>
                <w:rPr>
                  <w:color w:val="1D4E6C"/>
                  <w:u w:val="single"/>
                </w:rPr>
                <w:t>LIVE-A3</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YMCA Huntington F1</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Dated timetable; no single-class price or seat-capacity proof</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 xml:space="preserve">Login to reserve, 72-hour registration window and nonmember day-pass route. API must preserve identity, entitlement and booking-window rules </w:t>
            </w:r>
            <w:r>
              <w:rPr>
                <w:sz w:val="18"/>
              </w:rPr>
              <w:t>[</w:t>
            </w:r>
            <w:hyperlink r:id="rId36">
              <w:r>
                <w:rPr>
                  <w:color w:val="1D4E6C"/>
                  <w:u w:val="single"/>
                </w:rPr>
                <w:t>LIVE-F1</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Orangetheory Back Bay F2</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No scenario price or dates; generic $35 casual-price statement varies by studio</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 xml:space="preserve">Contact and eligibility form before schedule. No fields or checkboxes changed. Existing-member flow may differ; API does not remove eligibility or customer authorization </w:t>
            </w:r>
            <w:r>
              <w:rPr>
                <w:sz w:val="18"/>
              </w:rPr>
              <w:t>[</w:t>
            </w:r>
            <w:hyperlink r:id="rId37">
              <w:r>
                <w:rPr>
                  <w:color w:val="1D4E6C"/>
                  <w:u w:val="single"/>
                </w:rPr>
                <w:t>LIVE-F2</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Boston Yoga Union F3</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Dated Momence timetable; no single-class price or seat-capacity proof</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 xml:space="preserve">Stopped before class-specific Book now. Timezone was corrected in this browser from Los Angeles to New York; API must normalize venue/timezone and actual capacity </w:t>
            </w:r>
            <w:r>
              <w:rPr>
                <w:sz w:val="18"/>
              </w:rPr>
              <w:t>[</w:t>
            </w:r>
            <w:hyperlink r:id="rId38">
              <w:r>
                <w:rPr>
                  <w:color w:val="1D4E6C"/>
                  <w:u w:val="single"/>
                </w:rPr>
                <w:t>LIVE-F3</w:t>
              </w:r>
            </w:hyperlink>
            <w:r>
              <w:rPr>
                <w:sz w:val="18"/>
              </w:rPr>
              <w:t>]</w:t>
            </w:r>
            <w:r>
              <w:rPr>
                <w:sz w:val="18"/>
              </w:rPr>
            </w:r>
          </w:p>
        </w:tc>
      </w:tr>
    </w:tbl>
    <w:p>
      <w:pPr>
        <w:spacing w:after="20"/>
      </w:pPr>
    </w:p>
    <w:p>
      <w:pPr>
        <w:pStyle w:val="Heading2"/>
      </w:pPr>
      <w:r>
        <w:t>Audit durations rather than booking speeds</w:t>
      </w:r>
    </w:p>
    <w:p>
      <w:r>
        <w:t>The values below are observation-to-stop elapsed seconds. They are descriptive audit durations, not time to book. Different entry pages, service prerequisites, stopping depths, tool latency and interruption recovery make comparisons of provider or category difficulty invalid. Millisecond timestamps support traceability, not experimental precision.</w:t>
      </w:r>
    </w:p>
    <w:tbl>
      <w:tblPr>
        <w:tblW w:type="auto" w:w="0"/>
        <w:jc w:val="center"/>
        <w:tblLayout w:type="fixed"/>
        <w:tblLook w:firstColumn="1" w:firstRow="1" w:lastColumn="0" w:lastRow="0" w:noHBand="0" w:noVBand="1" w:val="04A0"/>
      </w:tblPr>
      <w:tblGrid>
        <w:gridCol w:w="3456"/>
        <w:gridCol w:w="1656"/>
        <w:gridCol w:w="5026"/>
      </w:tblGrid>
      <w:tr>
        <w:trPr>
          <w:tblHeader w:val="true"/>
          <w:cantSplit/>
        </w:trPr>
        <w:tc>
          <w:tcPr>
            <w:tcW w:type="dxa" w:w="3456"/>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21384A"/>
          </w:tcPr>
          <w:p>
            <w:pPr>
              <w:spacing w:after="0" w:line="250" w:lineRule="auto"/>
            </w:pPr>
            <w:r>
              <w:rPr>
                <w:b/>
                <w:color w:val="FFFFFF"/>
                <w:sz w:val="18"/>
              </w:rPr>
              <w:t>Category</w:t>
            </w:r>
          </w:p>
        </w:tc>
        <w:tc>
          <w:tcPr>
            <w:tcW w:type="dxa" w:w="1656"/>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21384A"/>
          </w:tcPr>
          <w:p>
            <w:pPr>
              <w:spacing w:after="0" w:line="250" w:lineRule="auto"/>
            </w:pPr>
            <w:r>
              <w:rPr>
                <w:b/>
                <w:color w:val="FFFFFF"/>
                <w:sz w:val="18"/>
              </w:rPr>
              <w:t>Core observations</w:t>
            </w:r>
          </w:p>
        </w:tc>
        <w:tc>
          <w:tcPr>
            <w:tcW w:type="dxa" w:w="5026"/>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21384A"/>
          </w:tcPr>
          <w:p>
            <w:pPr>
              <w:spacing w:after="0" w:line="250" w:lineRule="auto"/>
            </w:pPr>
            <w:r>
              <w:rPr>
                <w:b/>
                <w:color w:val="FFFFFF"/>
                <w:sz w:val="18"/>
              </w:rPr>
              <w:t>Median observation to stop seconds</w:t>
            </w:r>
          </w:p>
        </w:tc>
      </w:tr>
      <w:tr>
        <w:trPr>
          <w:cantSplit/>
        </w:trPr>
        <w:tc>
          <w:tcPr>
            <w:tcW w:type="dxa" w:w="3456"/>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Home cleaning</w:t>
            </w:r>
          </w:p>
        </w:tc>
        <w:tc>
          <w:tcPr>
            <w:tcW w:type="dxa" w:w="1656"/>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jc w:val="center"/>
            </w:pPr>
            <w:r>
              <w:rPr>
                <w:sz w:val="18"/>
              </w:rPr>
              <w:t>3</w:t>
            </w:r>
          </w:p>
        </w:tc>
        <w:tc>
          <w:tcPr>
            <w:tcW w:type="dxa" w:w="5026"/>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106.914</w:t>
            </w:r>
          </w:p>
        </w:tc>
      </w:tr>
      <w:tr>
        <w:trPr>
          <w:cantSplit/>
        </w:trPr>
        <w:tc>
          <w:tcPr>
            <w:tcW w:type="dxa" w:w="3456"/>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Beauty and barber</w:t>
            </w:r>
          </w:p>
        </w:tc>
        <w:tc>
          <w:tcPr>
            <w:tcW w:type="dxa" w:w="1656"/>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jc w:val="center"/>
            </w:pPr>
            <w:r>
              <w:rPr>
                <w:sz w:val="18"/>
              </w:rPr>
              <w:t>3</w:t>
            </w:r>
          </w:p>
        </w:tc>
        <w:tc>
          <w:tcPr>
            <w:tcW w:type="dxa" w:w="5026"/>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68.715</w:t>
            </w:r>
          </w:p>
        </w:tc>
      </w:tr>
      <w:tr>
        <w:trPr>
          <w:cantSplit/>
        </w:trPr>
        <w:tc>
          <w:tcPr>
            <w:tcW w:type="dxa" w:w="3456"/>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Pet grooming</w:t>
            </w:r>
          </w:p>
        </w:tc>
        <w:tc>
          <w:tcPr>
            <w:tcW w:type="dxa" w:w="1656"/>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jc w:val="center"/>
            </w:pPr>
            <w:r>
              <w:rPr>
                <w:sz w:val="18"/>
              </w:rPr>
              <w:t>3</w:t>
            </w:r>
          </w:p>
        </w:tc>
        <w:tc>
          <w:tcPr>
            <w:tcW w:type="dxa" w:w="5026"/>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67.594</w:t>
            </w:r>
          </w:p>
        </w:tc>
      </w:tr>
      <w:tr>
        <w:trPr>
          <w:cantSplit/>
        </w:trPr>
        <w:tc>
          <w:tcPr>
            <w:tcW w:type="dxa" w:w="3456"/>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Auto servicing</w:t>
            </w:r>
          </w:p>
        </w:tc>
        <w:tc>
          <w:tcPr>
            <w:tcW w:type="dxa" w:w="1656"/>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jc w:val="center"/>
            </w:pPr>
            <w:r>
              <w:rPr>
                <w:sz w:val="18"/>
              </w:rPr>
              <w:t>3</w:t>
            </w:r>
          </w:p>
        </w:tc>
        <w:tc>
          <w:tcPr>
            <w:tcW w:type="dxa" w:w="5026"/>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43.633</w:t>
            </w:r>
          </w:p>
        </w:tc>
      </w:tr>
      <w:tr>
        <w:trPr>
          <w:cantSplit/>
        </w:trPr>
        <w:tc>
          <w:tcPr>
            <w:tcW w:type="dxa" w:w="3456"/>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Fitness and classes</w:t>
            </w:r>
          </w:p>
        </w:tc>
        <w:tc>
          <w:tcPr>
            <w:tcW w:type="dxa" w:w="1656"/>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jc w:val="center"/>
            </w:pPr>
            <w:r>
              <w:rPr>
                <w:sz w:val="18"/>
              </w:rPr>
              <w:t>3</w:t>
            </w:r>
          </w:p>
        </w:tc>
        <w:tc>
          <w:tcPr>
            <w:tcW w:type="dxa" w:w="5026"/>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77.659</w:t>
            </w:r>
          </w:p>
        </w:tc>
      </w:tr>
    </w:tbl>
    <w:p>
      <w:pPr>
        <w:spacing w:after="20"/>
      </w:pPr>
    </w:p>
    <w:p>
      <w:r>
        <w:t>Petco's 187.722-second window includes the entire separate 67.594-second PetSmart inspection while an approval interruption was being resolved; those timers overlap and are not additive. Unmess's 202.196 seconds and Orangetheory's 134.140 seconds include research permission/recovery delays. The separate 14.269-second Maid Sailors localization check is excluded from its 106.914-second core measure. No valid median time to confirmed booking can be calculated.</w:t>
      </w:r>
    </w:p>
    <w:p>
      <w:pPr>
        <w:pStyle w:val="Heading2"/>
      </w:pPr>
      <w:r>
        <w:t>Supplemental checks and the limits they exposed</w:t>
      </w:r>
    </w:p>
    <w:p>
      <w:r>
        <w:t xml:space="preserve">Maid Sailors initially showed $160 subtotal plus $14.21 tax, totaling $174.21, without an address or ZIP. A later generic Boston ZIP 02116 persisted in the field, but the same price/time choices remained with no explicit coverage-validation message. This does not establish that the backend localized price or capacity for Boston. The total must remain conditional. A selected date and an automatically populated time are form state; backend hold behavior was not verified. </w:t>
      </w:r>
      <w:r>
        <w:t>[</w:t>
      </w:r>
      <w:hyperlink r:id="rId23">
        <w:r>
          <w:rPr>
            <w:color w:val="1D4E6C"/>
            <w:u w:val="single"/>
          </w:rPr>
          <w:t>LIVE-C1</w:t>
        </w:r>
      </w:hyperlink>
      <w:r>
        <w:t>]</w:t>
      </w:r>
      <w:r/>
    </w:p>
    <w:p>
      <w:r>
        <w:t xml:space="preserve">Boston Yoga Union's embedded schedule initially displayed Los Angeles GMT−7 in this browser session. Changing the display to New York GMT−4 moved the same two 6 October Vinyasa listings from 4:00 and 6:30 a.m. to 7:00 and 9:30 a.m. The after-state was saved. This establishes a three-hour display difference in this session, not a provider scheduling error or a default experienced by all customers. </w:t>
      </w:r>
      <w:r>
        <w:t>[</w:t>
      </w:r>
      <w:hyperlink r:id="rId38">
        <w:r>
          <w:rPr>
            <w:color w:val="1D4E6C"/>
            <w:u w:val="single"/>
          </w:rPr>
          <w:t>LIVE-F3</w:t>
        </w:r>
      </w:hyperlink>
      <w:r>
        <w:t>]</w:t>
      </w:r>
      <w:r/>
    </w:p>
    <w:p>
      <w:r>
        <w:t xml:space="preserve">The supplemental MBL Broad Street/Yordy SQUIRE discovery listing returned a permanently removed-page message after 12.971 seconds. A separate valid provider was used for the planned three core beauty observations; the stale result is retained rather than discarded. Search discovery quality and current bookable inventory are distinct problems. </w:t>
      </w:r>
      <w:r>
        <w:t>[</w:t>
      </w:r>
      <w:hyperlink r:id="rId39">
        <w:r>
          <w:rPr>
            <w:color w:val="1D4E6C"/>
            <w:u w:val="single"/>
          </w:rPr>
          <w:t>LIVE-extra</w:t>
        </w:r>
      </w:hyperlink>
      <w:r>
        <w:t>]</w:t>
      </w:r>
      <w:r/>
    </w:p>
    <w:p>
      <w:pPr>
        <w:pStyle w:val="Heading2"/>
      </w:pPr>
      <w:r>
        <w:t>What changes the thesis</w:t>
      </w:r>
    </w:p>
    <w:p>
      <w:r>
        <w:t>Beauty provided the clearest public combination of menus and dated options in this sample, across three named systems. That supports a bounded integration experiment but weakens any claim that the category simply lacks digital booking. Cleaning spans an inspectable form, a quote-first path and an unresolved availability interface. That heterogeneity makes provider opt-in, explicit scope and status normalization more useful questions than a blanket “missing API” claim.</w:t>
      </w:r>
    </w:p>
    <w:p>
      <w:r>
        <w:t>Pet gates were predominantly account or verification requirements; auto paths depended on vehicle information or a walk-in operating model; fitness separated class schedules from entitlement and capacity. A rail could improve authorized data reuse and lifecycle reliability, but these observations do not demonstrate that replacing calls is the dominant job. No actual phone necessity, user abandonment, cancellation or provider response after submission was measured.</w:t>
      </w:r>
    </w:p>
    <w:p>
      <w:pPr>
        <w:pStyle w:val="Heading1"/>
      </w:pPr>
      <w:r>
        <w:t>Existing booking rails and access constraints</w:t>
      </w:r>
    </w:p>
    <w:p>
      <w:r>
        <w:t>The technical inventory has 18 platform or distribution-system rows. The labels describe documented capability and unresolved access conditions, not 18 tested integrations. D means a capability is explicitly documented, C means conditional on configuration, plan or approval, and U means unverified in the reviewed sources. U is not proof of nonexistence.</w:t>
      </w:r>
    </w:p>
    <w:p>
      <w:r>
        <w:t>A supplier's administrative API may permit an appointment to be inserted without proving that the service is priced, in-area, adequately staffed or accepted. A request or lead is not a confirmed reservation. Buyer-safe access means the adapter enforces the merchant's actual eligibility, capacity and commercial rules rather than exploiting broad administrative privileges.</w:t>
      </w:r>
    </w:p>
    <w:tbl>
      <w:tblPr>
        <w:tblW w:type="auto" w:w="0"/>
        <w:jc w:val="center"/>
        <w:tblLayout w:type="fixed"/>
        <w:tblLook w:firstColumn="1" w:firstRow="1" w:lastColumn="0" w:lastRow="0" w:noHBand="0" w:noVBand="1" w:val="04A0"/>
      </w:tblPr>
      <w:tblGrid>
        <w:gridCol w:w="1728"/>
        <w:gridCol w:w="2880"/>
        <w:gridCol w:w="5530"/>
      </w:tblGrid>
      <w:tr>
        <w:trPr>
          <w:tblHeader w:val="true"/>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21384A"/>
          </w:tcPr>
          <w:p>
            <w:pPr>
              <w:spacing w:after="0" w:line="250" w:lineRule="auto"/>
            </w:pPr>
            <w:r>
              <w:rPr>
                <w:b/>
                <w:color w:val="FFFFFF"/>
                <w:sz w:val="18"/>
              </w:rPr>
              <w:t>Platform or system</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21384A"/>
          </w:tcPr>
          <w:p>
            <w:pPr>
              <w:spacing w:after="0" w:line="250" w:lineRule="auto"/>
            </w:pPr>
            <w:r>
              <w:rPr>
                <w:b/>
                <w:color w:val="FFFFFF"/>
                <w:sz w:val="18"/>
              </w:rPr>
              <w:t>Documented capability</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21384A"/>
          </w:tcPr>
          <w:p>
            <w:pPr>
              <w:spacing w:after="0" w:line="250" w:lineRule="auto"/>
            </w:pPr>
            <w:r>
              <w:rPr>
                <w:b/>
                <w:color w:val="FFFFFF"/>
                <w:sz w:val="18"/>
              </w:rPr>
              <w:t>Critical limitation before a pilot</w:t>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Housecall Pro</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Service/employee-aware booking windows, jobs and appointment lifecycle documented</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 xml:space="preserve">Merchant plan entitlement differs across docs; partner OAuth approval and consumer-rule enforcement must be verified </w:t>
            </w:r>
            <w:r>
              <w:rPr>
                <w:sz w:val="18"/>
              </w:rPr>
              <w:t>[</w:t>
            </w:r>
            <w:hyperlink r:id="rId40">
              <w:r>
                <w:rPr>
                  <w:color w:val="1D4E6C"/>
                  <w:u w:val="single"/>
                </w:rPr>
                <w:t>HCP1</w:t>
              </w:r>
            </w:hyperlink>
            <w:r>
              <w:rPr>
                <w:sz w:val="18"/>
              </w:rPr>
              <w:t xml:space="preserve">, </w:t>
            </w:r>
            <w:hyperlink r:id="rId41">
              <w:r>
                <w:rPr>
                  <w:color w:val="1D4E6C"/>
                  <w:u w:val="single"/>
                </w:rPr>
                <w:t>HCP2</w:t>
              </w:r>
            </w:hyperlink>
            <w:r>
              <w:rPr>
                <w:sz w:val="18"/>
              </w:rPr>
              <w:t xml:space="preserve">, </w:t>
            </w:r>
            <w:hyperlink r:id="rId42">
              <w:r>
                <w:rPr>
                  <w:color w:val="1D4E6C"/>
                  <w:u w:val="single"/>
                </w:rPr>
                <w:t>HCP3</w:t>
              </w:r>
            </w:hyperlink>
            <w:r>
              <w:rPr>
                <w:sz w:val="18"/>
              </w:rPr>
              <w:t xml:space="preserve">, </w:t>
            </w:r>
            <w:hyperlink r:id="rId10">
              <w:r>
                <w:rPr>
                  <w:color w:val="1D4E6C"/>
                  <w:u w:val="single"/>
                </w:rPr>
                <w:t>HCP4</w:t>
              </w:r>
            </w:hyperlink>
            <w:r>
              <w:rPr>
                <w:sz w:val="18"/>
              </w:rPr>
              <w:t xml:space="preserve">, </w:t>
            </w:r>
            <w:hyperlink r:id="rId11">
              <w:r>
                <w:rPr>
                  <w:color w:val="1D4E6C"/>
                  <w:u w:val="single"/>
                </w:rPr>
                <w:t>HCP5</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Jobber</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OAuth platform, jobs/visits and native online booking exist</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 xml:space="preserve">Authenticated mutation schema not exercised; official native MCP cannot create jobs or edit appointments; native Receptionist is separate </w:t>
            </w:r>
            <w:r>
              <w:rPr>
                <w:sz w:val="18"/>
              </w:rPr>
              <w:t>[</w:t>
            </w:r>
            <w:hyperlink r:id="rId43">
              <w:r>
                <w:rPr>
                  <w:color w:val="1D4E6C"/>
                  <w:u w:val="single"/>
                </w:rPr>
                <w:t>JOB1</w:t>
              </w:r>
            </w:hyperlink>
            <w:r>
              <w:rPr>
                <w:sz w:val="18"/>
              </w:rPr>
              <w:t xml:space="preserve">, </w:t>
            </w:r>
            <w:hyperlink r:id="rId44">
              <w:r>
                <w:rPr>
                  <w:color w:val="1D4E6C"/>
                  <w:u w:val="single"/>
                </w:rPr>
                <w:t>JOB2</w:t>
              </w:r>
            </w:hyperlink>
            <w:r>
              <w:rPr>
                <w:sz w:val="18"/>
              </w:rPr>
              <w:t xml:space="preserve">, </w:t>
            </w:r>
            <w:hyperlink r:id="rId19">
              <w:r>
                <w:rPr>
                  <w:color w:val="1D4E6C"/>
                  <w:u w:val="single"/>
                </w:rPr>
                <w:t>JOB4</w:t>
              </w:r>
            </w:hyperlink>
            <w:r>
              <w:rPr>
                <w:sz w:val="18"/>
              </w:rPr>
              <w:t xml:space="preserve">, </w:t>
            </w:r>
            <w:hyperlink r:id="rId45">
              <w:r>
                <w:rPr>
                  <w:color w:val="1D4E6C"/>
                  <w:u w:val="single"/>
                </w:rPr>
                <w:t>JOB5</w:t>
              </w:r>
            </w:hyperlink>
            <w:r>
              <w:rPr>
                <w:sz w:val="18"/>
              </w:rPr>
              <w:t xml:space="preserve">, </w:t>
            </w:r>
            <w:hyperlink r:id="rId46">
              <w:r>
                <w:rPr>
                  <w:color w:val="1D4E6C"/>
                  <w:u w:val="single"/>
                </w:rPr>
                <w:t>JOB6</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ServiceTitan</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CRM requests and separate job/appointment writes documented</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 xml:space="preserve">Partner environment/review required; native capacity configuration does not prove an exposed atomic consumer booking contract </w:t>
            </w:r>
            <w:r>
              <w:rPr>
                <w:sz w:val="18"/>
              </w:rPr>
              <w:t>[</w:t>
            </w:r>
            <w:hyperlink r:id="rId47">
              <w:r>
                <w:rPr>
                  <w:color w:val="1D4E6C"/>
                  <w:u w:val="single"/>
                </w:rPr>
                <w:t>ST1</w:t>
              </w:r>
            </w:hyperlink>
            <w:r>
              <w:rPr>
                <w:sz w:val="18"/>
              </w:rPr>
              <w:t xml:space="preserve">, </w:t>
            </w:r>
            <w:hyperlink r:id="rId48">
              <w:r>
                <w:rPr>
                  <w:color w:val="1D4E6C"/>
                  <w:u w:val="single"/>
                </w:rPr>
                <w:t>ST3</w:t>
              </w:r>
            </w:hyperlink>
            <w:r>
              <w:rPr>
                <w:sz w:val="18"/>
              </w:rPr>
              <w:t xml:space="preserve">, </w:t>
            </w:r>
            <w:hyperlink r:id="rId49">
              <w:r>
                <w:rPr>
                  <w:color w:val="1D4E6C"/>
                  <w:u w:val="single"/>
                </w:rPr>
                <w:t>ST4</w:t>
              </w:r>
            </w:hyperlink>
            <w:r>
              <w:rPr>
                <w:sz w:val="18"/>
              </w:rPr>
              <w:t xml:space="preserve">, </w:t>
            </w:r>
            <w:hyperlink r:id="rId50">
              <w:r>
                <w:rPr>
                  <w:color w:val="1D4E6C"/>
                  <w:u w:val="single"/>
                </w:rPr>
                <w:t>ST5</w:t>
              </w:r>
            </w:hyperlink>
            <w:r>
              <w:rPr>
                <w:sz w:val="18"/>
              </w:rPr>
              <w:t xml:space="preserve">, </w:t>
            </w:r>
            <w:hyperlink r:id="rId51">
              <w:r>
                <w:rPr>
                  <w:color w:val="1D4E6C"/>
                  <w:u w:val="single"/>
                </w:rPr>
                <w:t>ST6</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Square</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Availability, create/update/cancel, idempotency and events</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 xml:space="preserve">Seller consent required even for buyer-level apps; nonzero cancellation-fee services unsupported for API create; seller writes can override safeguards </w:t>
            </w:r>
            <w:r>
              <w:rPr>
                <w:sz w:val="18"/>
              </w:rPr>
              <w:t>[</w:t>
            </w:r>
            <w:hyperlink r:id="rId12">
              <w:r>
                <w:rPr>
                  <w:color w:val="1D4E6C"/>
                  <w:u w:val="single"/>
                </w:rPr>
                <w:t>SQ1</w:t>
              </w:r>
            </w:hyperlink>
            <w:r>
              <w:rPr>
                <w:sz w:val="18"/>
              </w:rPr>
              <w:t xml:space="preserve">, </w:t>
            </w:r>
            <w:hyperlink r:id="rId22">
              <w:r>
                <w:rPr>
                  <w:color w:val="1D4E6C"/>
                  <w:u w:val="single"/>
                </w:rPr>
                <w:t>SQ2</w:t>
              </w:r>
            </w:hyperlink>
            <w:r>
              <w:rPr>
                <w:sz w:val="18"/>
              </w:rPr>
              <w:t xml:space="preserve">, </w:t>
            </w:r>
            <w:hyperlink r:id="rId52">
              <w:r>
                <w:rPr>
                  <w:color w:val="1D4E6C"/>
                  <w:u w:val="single"/>
                </w:rPr>
                <w:t>SQ3</w:t>
              </w:r>
            </w:hyperlink>
            <w:r>
              <w:rPr>
                <w:sz w:val="18"/>
              </w:rPr>
              <w:t xml:space="preserve">, </w:t>
            </w:r>
            <w:hyperlink r:id="rId53">
              <w:r>
                <w:rPr>
                  <w:color w:val="1D4E6C"/>
                  <w:u w:val="single"/>
                </w:rPr>
                <w:t>SQ5</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Mindbody</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Class/appointment booking, checkout and distinct API contracts</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 xml:space="preserve">Business activation and go-live approval; membership and payment rules; fee applicability requires contract confirmation </w:t>
            </w:r>
            <w:r>
              <w:rPr>
                <w:sz w:val="18"/>
              </w:rPr>
              <w:t>[</w:t>
            </w:r>
            <w:hyperlink r:id="rId54">
              <w:r>
                <w:rPr>
                  <w:color w:val="1D4E6C"/>
                  <w:u w:val="single"/>
                </w:rPr>
                <w:t>MB1</w:t>
              </w:r>
            </w:hyperlink>
            <w:r>
              <w:rPr>
                <w:sz w:val="18"/>
              </w:rPr>
              <w:t xml:space="preserve">, </w:t>
            </w:r>
            <w:hyperlink r:id="rId55">
              <w:r>
                <w:rPr>
                  <w:color w:val="1D4E6C"/>
                  <w:u w:val="single"/>
                </w:rPr>
                <w:t>MB2</w:t>
              </w:r>
            </w:hyperlink>
            <w:r>
              <w:rPr>
                <w:sz w:val="18"/>
              </w:rPr>
              <w:t xml:space="preserve">, </w:t>
            </w:r>
            <w:hyperlink r:id="rId56">
              <w:r>
                <w:rPr>
                  <w:color w:val="1D4E6C"/>
                  <w:u w:val="single"/>
                </w:rPr>
                <w:t>MB3</w:t>
              </w:r>
            </w:hyperlink>
            <w:r>
              <w:rPr>
                <w:sz w:val="18"/>
              </w:rPr>
              <w:t xml:space="preserve">, </w:t>
            </w:r>
            <w:hyperlink r:id="rId57">
              <w:r>
                <w:rPr>
                  <w:color w:val="1D4E6C"/>
                  <w:u w:val="single"/>
                </w:rPr>
                <w:t>MB4</w:t>
              </w:r>
            </w:hyperlink>
            <w:r>
              <w:rPr>
                <w:sz w:val="18"/>
              </w:rPr>
              <w:t xml:space="preserve">, </w:t>
            </w:r>
            <w:hyperlink r:id="rId58">
              <w:r>
                <w:rPr>
                  <w:color w:val="1D4E6C"/>
                  <w:u w:val="single"/>
                </w:rPr>
                <w:t>MB5</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Vagaro</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Appointment availability/read and event interface</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 xml:space="preserve">No appointment-write contract verified in reviewed public index; payment-processing/account prerequisites apply </w:t>
            </w:r>
            <w:r>
              <w:rPr>
                <w:sz w:val="18"/>
              </w:rPr>
              <w:t>[</w:t>
            </w:r>
            <w:hyperlink r:id="rId59">
              <w:r>
                <w:rPr>
                  <w:color w:val="1D4E6C"/>
                  <w:u w:val="single"/>
                </w:rPr>
                <w:t>VAG1</w:t>
              </w:r>
            </w:hyperlink>
            <w:r>
              <w:rPr>
                <w:sz w:val="18"/>
              </w:rPr>
              <w:t xml:space="preserve">, </w:t>
            </w:r>
            <w:hyperlink r:id="rId60">
              <w:r>
                <w:rPr>
                  <w:color w:val="1D4E6C"/>
                  <w:u w:val="single"/>
                </w:rPr>
                <w:t>VAG2</w:t>
              </w:r>
            </w:hyperlink>
            <w:r>
              <w:rPr>
                <w:sz w:val="18"/>
              </w:rPr>
              <w:t xml:space="preserve">, </w:t>
            </w:r>
            <w:hyperlink r:id="rId61">
              <w:r>
                <w:rPr>
                  <w:color w:val="1D4E6C"/>
                  <w:u w:val="single"/>
                </w:rPr>
                <w:t>VAG3</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Fresha</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Paid analytics data connector verified</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 xml:space="preserve">Data export is not booking execution; public transactional-write contract remains unverified </w:t>
            </w:r>
            <w:r>
              <w:rPr>
                <w:sz w:val="18"/>
              </w:rPr>
              <w:t>[</w:t>
            </w:r>
            <w:hyperlink r:id="rId62">
              <w:r>
                <w:rPr>
                  <w:color w:val="1D4E6C"/>
                  <w:u w:val="single"/>
                </w:rPr>
                <w:t>FRE1</w:t>
              </w:r>
            </w:hyperlink>
            <w:r>
              <w:rPr>
                <w:sz w:val="18"/>
              </w:rPr>
              <w:t xml:space="preserve">, </w:t>
            </w:r>
            <w:hyperlink r:id="rId63">
              <w:r>
                <w:rPr>
                  <w:color w:val="1D4E6C"/>
                  <w:u w:val="single"/>
                </w:rPr>
                <w:t>FRE2</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OpenTable</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Partner reservation API, five-minute locks and lifecycle</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 xml:space="preserve">Approved partnership/agreement; visual and voice use cases differ; card holds or prepayment can remain </w:t>
            </w:r>
            <w:r>
              <w:rPr>
                <w:sz w:val="18"/>
              </w:rPr>
              <w:t>[</w:t>
            </w:r>
            <w:hyperlink r:id="rId13">
              <w:r>
                <w:rPr>
                  <w:color w:val="1D4E6C"/>
                  <w:u w:val="single"/>
                </w:rPr>
                <w:t>OT1</w:t>
              </w:r>
            </w:hyperlink>
            <w:r>
              <w:rPr>
                <w:sz w:val="18"/>
              </w:rPr>
              <w:t xml:space="preserve">, </w:t>
            </w:r>
            <w:hyperlink r:id="rId64">
              <w:r>
                <w:rPr>
                  <w:color w:val="1D4E6C"/>
                  <w:u w:val="single"/>
                </w:rPr>
                <w:t>OT2</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Calendly</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Paid-plan create-invitee, availability and native MCP</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 xml:space="preserve">Host/account authorization; reschedule management link is not a verified direct reschedule endpoint </w:t>
            </w:r>
            <w:r>
              <w:rPr>
                <w:sz w:val="18"/>
              </w:rPr>
              <w:t>[</w:t>
            </w:r>
            <w:hyperlink r:id="rId65">
              <w:r>
                <w:rPr>
                  <w:color w:val="1D4E6C"/>
                  <w:u w:val="single"/>
                </w:rPr>
                <w:t>CAL1</w:t>
              </w:r>
            </w:hyperlink>
            <w:r>
              <w:rPr>
                <w:sz w:val="18"/>
              </w:rPr>
              <w:t xml:space="preserve">, </w:t>
            </w:r>
            <w:hyperlink r:id="rId14">
              <w:r>
                <w:rPr>
                  <w:color w:val="1D4E6C"/>
                  <w:u w:val="single"/>
                </w:rPr>
                <w:t>CAL2</w:t>
              </w:r>
            </w:hyperlink>
            <w:r>
              <w:rPr>
                <w:sz w:val="18"/>
              </w:rPr>
              <w:t xml:space="preserve">, </w:t>
            </w:r>
            <w:hyperlink r:id="rId15">
              <w:r>
                <w:rPr>
                  <w:color w:val="1D4E6C"/>
                  <w:u w:val="single"/>
                </w:rPr>
                <w:t>CAL3</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OnceHub</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Native agent availability and scheduling tools</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 xml:space="preserve">Account/plan access; approval/pending states must remain distinct from accepted meetings </w:t>
            </w:r>
            <w:r>
              <w:rPr>
                <w:sz w:val="18"/>
              </w:rPr>
              <w:t>[</w:t>
            </w:r>
            <w:hyperlink r:id="rId66">
              <w:r>
                <w:rPr>
                  <w:color w:val="1D4E6C"/>
                  <w:u w:val="single"/>
                </w:rPr>
                <w:t>ONC1</w:t>
              </w:r>
            </w:hyperlink>
            <w:r>
              <w:rPr>
                <w:sz w:val="18"/>
              </w:rPr>
              <w:t xml:space="preserve">, </w:t>
            </w:r>
            <w:hyperlink r:id="rId67">
              <w:r>
                <w:rPr>
                  <w:color w:val="1D4E6C"/>
                  <w:u w:val="single"/>
                </w:rPr>
                <w:t>ONC2</w:t>
              </w:r>
            </w:hyperlink>
            <w:r>
              <w:rPr>
                <w:sz w:val="18"/>
              </w:rPr>
              <w:t xml:space="preserve">, </w:t>
            </w:r>
            <w:hyperlink r:id="rId16">
              <w:r>
                <w:rPr>
                  <w:color w:val="1D4E6C"/>
                  <w:u w:val="single"/>
                </w:rPr>
                <w:t>ONC3</w:t>
              </w:r>
            </w:hyperlink>
            <w:r>
              <w:rPr>
                <w:sz w:val="18"/>
              </w:rPr>
              <w:t xml:space="preserve">, </w:t>
            </w:r>
            <w:hyperlink r:id="rId68">
              <w:r>
                <w:rPr>
                  <w:color w:val="1D4E6C"/>
                  <w:u w:val="single"/>
                </w:rPr>
                <w:t>ONC4</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Shopmonkey</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Administrative appointment create/update/delete/confirm</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 xml:space="preserve">Consumer capacity, exact all-in service price and multimerchant authorization are not established </w:t>
            </w:r>
            <w:r>
              <w:rPr>
                <w:sz w:val="18"/>
              </w:rPr>
              <w:t>[</w:t>
            </w:r>
            <w:hyperlink r:id="rId69">
              <w:r>
                <w:rPr>
                  <w:color w:val="1D4E6C"/>
                  <w:u w:val="single"/>
                </w:rPr>
                <w:t>AUTO1</w:t>
              </w:r>
            </w:hyperlink>
            <w:r>
              <w:rPr>
                <w:sz w:val="18"/>
              </w:rPr>
              <w:t xml:space="preserve">, </w:t>
            </w:r>
            <w:hyperlink r:id="rId70">
              <w:r>
                <w:rPr>
                  <w:color w:val="1D4E6C"/>
                  <w:u w:val="single"/>
                </w:rPr>
                <w:t>AUTO2</w:t>
              </w:r>
            </w:hyperlink>
            <w:r>
              <w:rPr>
                <w:sz w:val="18"/>
              </w:rPr>
              <w:t xml:space="preserve">, </w:t>
            </w:r>
            <w:hyperlink r:id="rId71">
              <w:r>
                <w:rPr>
                  <w:color w:val="1D4E6C"/>
                  <w:u w:val="single"/>
                </w:rPr>
                <w:t>AUTO3</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Tekmetric</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Native online-booking widget verified</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 xml:space="preserve">General third-party production reservation-write contract remains unverified </w:t>
            </w:r>
            <w:r>
              <w:rPr>
                <w:sz w:val="18"/>
              </w:rPr>
              <w:t>[</w:t>
            </w:r>
            <w:hyperlink r:id="rId72">
              <w:r>
                <w:rPr>
                  <w:color w:val="1D4E6C"/>
                  <w:u w:val="single"/>
                </w:rPr>
                <w:t>AUTO4</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Gingr</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Partner/new APIs describe capacity and reservation lifecycle</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 xml:space="preserve">Different API surfaces and credentials must not be merged; some endpoints beta; startup eligibility unresolved </w:t>
            </w:r>
            <w:r>
              <w:rPr>
                <w:sz w:val="18"/>
              </w:rPr>
              <w:t>[</w:t>
            </w:r>
            <w:hyperlink r:id="rId73">
              <w:r>
                <w:rPr>
                  <w:color w:val="1D4E6C"/>
                  <w:u w:val="single"/>
                </w:rPr>
                <w:t>PET1</w:t>
              </w:r>
            </w:hyperlink>
            <w:r>
              <w:rPr>
                <w:sz w:val="18"/>
              </w:rPr>
              <w:t xml:space="preserve">, </w:t>
            </w:r>
            <w:hyperlink r:id="rId74">
              <w:r>
                <w:rPr>
                  <w:color w:val="1D4E6C"/>
                  <w:u w:val="single"/>
                </w:rPr>
                <w:t>PET2</w:t>
              </w:r>
            </w:hyperlink>
            <w:r>
              <w:rPr>
                <w:sz w:val="18"/>
              </w:rPr>
              <w:t xml:space="preserve">, </w:t>
            </w:r>
            <w:hyperlink r:id="rId75">
              <w:r>
                <w:rPr>
                  <w:color w:val="1D4E6C"/>
                  <w:u w:val="single"/>
                </w:rPr>
                <w:t>PET3</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MoeGo</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Enterprise API plus appointment lifecycle documentation</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 xml:space="preserve">Conflict override and notification defaults require explicit handling; UNCONFIRMED requires business acceptance </w:t>
            </w:r>
            <w:r>
              <w:rPr>
                <w:sz w:val="18"/>
              </w:rPr>
              <w:t>[</w:t>
            </w:r>
            <w:hyperlink r:id="rId76">
              <w:r>
                <w:rPr>
                  <w:color w:val="1D4E6C"/>
                  <w:u w:val="single"/>
                </w:rPr>
                <w:t>PET4</w:t>
              </w:r>
            </w:hyperlink>
            <w:r>
              <w:rPr>
                <w:sz w:val="18"/>
              </w:rPr>
              <w:t xml:space="preserve">, </w:t>
            </w:r>
            <w:hyperlink r:id="rId77">
              <w:r>
                <w:rPr>
                  <w:color w:val="1D4E6C"/>
                  <w:u w:val="single"/>
                </w:rPr>
                <w:t>PET5</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NexHealth</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Practice-connected appointment insertion and updates</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 xml:space="preserve">Sandbox does not write an EHR; production onboarding; asynchronous result and EHR-specific update support </w:t>
            </w:r>
            <w:r>
              <w:rPr>
                <w:sz w:val="18"/>
              </w:rPr>
              <w:t>[</w:t>
            </w:r>
            <w:hyperlink r:id="rId78">
              <w:r>
                <w:rPr>
                  <w:color w:val="1D4E6C"/>
                  <w:u w:val="single"/>
                </w:rPr>
                <w:t>HEALTH1</w:t>
              </w:r>
            </w:hyperlink>
            <w:r>
              <w:rPr>
                <w:sz w:val="18"/>
              </w:rPr>
              <w:t xml:space="preserve">, </w:t>
            </w:r>
            <w:hyperlink r:id="rId79">
              <w:r>
                <w:rPr>
                  <w:color w:val="1D4E6C"/>
                  <w:u w:val="single"/>
                </w:rPr>
                <w:t>HEALTH2</w:t>
              </w:r>
            </w:hyperlink>
            <w:r>
              <w:rPr>
                <w:sz w:val="18"/>
              </w:rPr>
              <w:t xml:space="preserve">, </w:t>
            </w:r>
            <w:hyperlink r:id="rId80">
              <w:r>
                <w:rPr>
                  <w:color w:val="1D4E6C"/>
                  <w:u w:val="single"/>
                </w:rPr>
                <w:t>HEALTH3</w:t>
              </w:r>
            </w:hyperlink>
            <w:r>
              <w:rPr>
                <w:sz w:val="18"/>
              </w:rPr>
              <w:t xml:space="preserve">, </w:t>
            </w:r>
            <w:hyperlink r:id="rId81">
              <w:r>
                <w:rPr>
                  <w:color w:val="1D4E6C"/>
                  <w:u w:val="single"/>
                </w:rPr>
                <w:t>HEALTH4</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Open Dental</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Slot lookup and appointment creation documented</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 xml:space="preserve">Practice setup, credentials, versions and WebSched subscription requirements constrain use </w:t>
            </w:r>
            <w:r>
              <w:rPr>
                <w:sz w:val="18"/>
              </w:rPr>
              <w:t>[</w:t>
            </w:r>
            <w:hyperlink r:id="rId82">
              <w:r>
                <w:rPr>
                  <w:color w:val="1D4E6C"/>
                  <w:u w:val="single"/>
                </w:rPr>
                <w:t>HEALTH5</w:t>
              </w:r>
            </w:hyperlink>
            <w:r>
              <w:rPr>
                <w:sz w:val="18"/>
              </w:rPr>
              <w:t xml:space="preserve">, </w:t>
            </w:r>
            <w:hyperlink r:id="rId83">
              <w:r>
                <w:rPr>
                  <w:color w:val="1D4E6C"/>
                  <w:u w:val="single"/>
                </w:rPr>
                <w:t>HEALTH6</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DrChrono</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Provider-authorized appointment API and conflicts</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 xml:space="preserve">Does not establish broader EHR coverage, patient eligibility or autonomous consumer authorization </w:t>
            </w:r>
            <w:r>
              <w:rPr>
                <w:sz w:val="18"/>
              </w:rPr>
              <w:t>[</w:t>
            </w:r>
            <w:hyperlink r:id="rId84">
              <w:r>
                <w:rPr>
                  <w:color w:val="1D4E6C"/>
                  <w:u w:val="single"/>
                </w:rPr>
                <w:t>HEALTH7</w:t>
              </w:r>
            </w:hyperlink>
            <w:r>
              <w:rPr>
                <w:sz w:val="18"/>
              </w:rPr>
              <w:t>]</w:t>
            </w:r>
            <w:r>
              <w:rPr>
                <w:sz w:val="18"/>
              </w:rPr>
            </w:r>
          </w:p>
        </w:tc>
      </w:tr>
      <w:tr>
        <w:trPr>
          <w:cantSplit/>
        </w:trPr>
        <w:tc>
          <w:tcPr>
            <w:tcW w:type="dxa" w:w="172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Google Actions Center</w:t>
            </w:r>
          </w:p>
        </w:tc>
        <w:tc>
          <w:tcPr>
            <w:tcW w:type="dxa" w:w="288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Existing partner inventory distribution and booking-server contract</w:t>
            </w:r>
          </w:p>
        </w:tc>
        <w:tc>
          <w:tcPr>
            <w:tcW w:type="dxa" w:w="5530"/>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 xml:space="preserve">Not a general consumer API for arbitrary agents; merchant feeds, partner onboarding and real-time updates required </w:t>
            </w:r>
            <w:r>
              <w:rPr>
                <w:sz w:val="18"/>
              </w:rPr>
              <w:t>[</w:t>
            </w:r>
            <w:hyperlink r:id="rId85">
              <w:r>
                <w:rPr>
                  <w:color w:val="1D4E6C"/>
                  <w:u w:val="single"/>
                </w:rPr>
                <w:t>GOOG1</w:t>
              </w:r>
            </w:hyperlink>
            <w:r>
              <w:rPr>
                <w:sz w:val="18"/>
              </w:rPr>
              <w:t xml:space="preserve">, </w:t>
            </w:r>
            <w:hyperlink r:id="rId86">
              <w:r>
                <w:rPr>
                  <w:color w:val="1D4E6C"/>
                  <w:u w:val="single"/>
                </w:rPr>
                <w:t>GOOG2</w:t>
              </w:r>
            </w:hyperlink>
            <w:r>
              <w:rPr>
                <w:sz w:val="18"/>
              </w:rPr>
              <w:t xml:space="preserve">, </w:t>
            </w:r>
            <w:hyperlink r:id="rId87">
              <w:r>
                <w:rPr>
                  <w:color w:val="1D4E6C"/>
                  <w:u w:val="single"/>
                </w:rPr>
                <w:t>GOOG3</w:t>
              </w:r>
            </w:hyperlink>
            <w:r>
              <w:rPr>
                <w:sz w:val="18"/>
              </w:rPr>
              <w:t xml:space="preserve">, </w:t>
            </w:r>
            <w:hyperlink r:id="rId88">
              <w:r>
                <w:rPr>
                  <w:color w:val="1D4E6C"/>
                  <w:u w:val="single"/>
                </w:rPr>
                <w:t>GOOG4</w:t>
              </w:r>
            </w:hyperlink>
            <w:r>
              <w:rPr>
                <w:sz w:val="18"/>
              </w:rPr>
              <w:t>]</w:t>
            </w:r>
            <w:r>
              <w:rPr>
                <w:sz w:val="18"/>
              </w:rPr>
            </w:r>
          </w:p>
        </w:tc>
      </w:tr>
    </w:tbl>
    <w:p>
      <w:pPr>
        <w:spacing w:after="20"/>
      </w:pPr>
    </w:p>
    <w:p>
      <w:pPr>
        <w:pStyle w:val="Heading2"/>
      </w:pPr>
      <w:r>
        <w:t>The strongest technical candidates</w:t>
      </w:r>
    </w:p>
    <w:p>
      <w:r>
        <w:t xml:space="preserve">Square is a useful controlled prototype because service/staff/location availability and lifecycle operations are explicitly documented. Restrict the first test to merchant-opted-in services with zero cancellation fees and correct customer access. Buyer-level permissions protect against off-hours and double bookings, while broader seller-level permissions can override those rules. Existing bookings made outside the application can require different access than creating a new booking for a returning customer. A deposit can restrict changes to appointment segments, and notifications depend on the write mode. </w:t>
      </w:r>
      <w:r>
        <w:t>[</w:t>
      </w:r>
      <w:hyperlink r:id="rId12">
        <w:r>
          <w:rPr>
            <w:color w:val="1D4E6C"/>
            <w:u w:val="single"/>
          </w:rPr>
          <w:t>SQ1</w:t>
        </w:r>
      </w:hyperlink>
      <w:r>
        <w:t xml:space="preserve">, </w:t>
      </w:r>
      <w:hyperlink r:id="rId22">
        <w:r>
          <w:rPr>
            <w:color w:val="1D4E6C"/>
            <w:u w:val="single"/>
          </w:rPr>
          <w:t>SQ2</w:t>
        </w:r>
      </w:hyperlink>
      <w:r>
        <w:t xml:space="preserve">, </w:t>
      </w:r>
      <w:hyperlink r:id="rId52">
        <w:r>
          <w:rPr>
            <w:color w:val="1D4E6C"/>
            <w:u w:val="single"/>
          </w:rPr>
          <w:t>SQ3</w:t>
        </w:r>
      </w:hyperlink>
      <w:r>
        <w:t xml:space="preserve">, </w:t>
      </w:r>
      <w:hyperlink r:id="rId89">
        <w:r>
          <w:rPr>
            <w:color w:val="1D4E6C"/>
            <w:u w:val="single"/>
          </w:rPr>
          <w:t>SQ4</w:t>
        </w:r>
      </w:hyperlink>
      <w:r>
        <w:t xml:space="preserve">, </w:t>
      </w:r>
      <w:hyperlink r:id="rId53">
        <w:r>
          <w:rPr>
            <w:color w:val="1D4E6C"/>
            <w:u w:val="single"/>
          </w:rPr>
          <w:t>SQ5</w:t>
        </w:r>
      </w:hyperlink>
      <w:r>
        <w:t>]</w:t>
      </w:r>
      <w:r/>
    </w:p>
    <w:p>
      <w:r>
        <w:t xml:space="preserve">Housecall Pro is directly relevant to the cleaning hypothesis. Its documented booking windows derive from Online Booking configuration and can filter service, price form and employees. Job creation can use an existing customer and address, line items and price-form options. These capabilities justify an access conversation, but do not prove an atomic capacity-and-price transaction, an expiring hold, a native retry guarantee or a universal payment flow. Unscheduling an appointment is not necessarily cancellation of the parent job. </w:t>
      </w:r>
      <w:r>
        <w:t>[</w:t>
      </w:r>
      <w:hyperlink r:id="rId10">
        <w:r>
          <w:rPr>
            <w:color w:val="1D4E6C"/>
            <w:u w:val="single"/>
          </w:rPr>
          <w:t>HCP4</w:t>
        </w:r>
      </w:hyperlink>
      <w:r>
        <w:t xml:space="preserve">, </w:t>
      </w:r>
      <w:hyperlink r:id="rId11">
        <w:r>
          <w:rPr>
            <w:color w:val="1D4E6C"/>
            <w:u w:val="single"/>
          </w:rPr>
          <w:t>HCP5</w:t>
        </w:r>
      </w:hyperlink>
      <w:r>
        <w:t xml:space="preserve">, </w:t>
      </w:r>
      <w:hyperlink r:id="rId90">
        <w:r>
          <w:rPr>
            <w:color w:val="1D4E6C"/>
            <w:u w:val="single"/>
          </w:rPr>
          <w:t>HCP6</w:t>
        </w:r>
      </w:hyperlink>
      <w:r>
        <w:t>]</w:t>
      </w:r>
      <w:r/>
    </w:p>
    <w:p>
      <w:r>
        <w:t xml:space="preserve">Mindbody demonstrates why access economics belong in the first diligence call. Its developer page shows $0.002 per site-access call and a Consumer Bookings schedule of $15 per location/integration plus $1.30 per class booking or $2.50 per appointment, alongside free-access conditions and free virtual bookings. Its FAQ states that all locations in a connected Site ID are billed, including unused locations, and prices are in USD. The visible schedule is documented; which program and terms apply to this company remain unverified. Public, Consumer and Affiliate endpoints must not inherit one another's authentication or idempotency guarantees by assumption. </w:t>
      </w:r>
      <w:r>
        <w:t>[</w:t>
      </w:r>
      <w:hyperlink r:id="rId54">
        <w:r>
          <w:rPr>
            <w:color w:val="1D4E6C"/>
            <w:u w:val="single"/>
          </w:rPr>
          <w:t>MB1</w:t>
        </w:r>
      </w:hyperlink>
      <w:r>
        <w:t xml:space="preserve">, </w:t>
      </w:r>
      <w:hyperlink r:id="rId55">
        <w:r>
          <w:rPr>
            <w:color w:val="1D4E6C"/>
            <w:u w:val="single"/>
          </w:rPr>
          <w:t>MB2</w:t>
        </w:r>
      </w:hyperlink>
      <w:r>
        <w:t xml:space="preserve">, </w:t>
      </w:r>
      <w:hyperlink r:id="rId57">
        <w:r>
          <w:rPr>
            <w:color w:val="1D4E6C"/>
            <w:u w:val="single"/>
          </w:rPr>
          <w:t>MB4</w:t>
        </w:r>
      </w:hyperlink>
      <w:r>
        <w:t xml:space="preserve">, </w:t>
      </w:r>
      <w:hyperlink r:id="rId58">
        <w:r>
          <w:rPr>
            <w:color w:val="1D4E6C"/>
            <w:u w:val="single"/>
          </w:rPr>
          <w:t>MB5</w:t>
        </w:r>
      </w:hyperlink>
      <w:r>
        <w:t xml:space="preserve">, </w:t>
      </w:r>
      <w:hyperlink r:id="rId91">
        <w:r>
          <w:rPr>
            <w:color w:val="1D4E6C"/>
            <w:u w:val="single"/>
          </w:rPr>
          <w:t>MB6</w:t>
        </w:r>
      </w:hyperlink>
      <w:r>
        <w:t>]</w:t>
      </w:r>
      <w:r/>
    </w:p>
    <w:p>
      <w:r>
        <w:t xml:space="preserve">For auto service, appointment write capability alone is insufficient. The relevant unit may be a drop-off slot, rather than a promise that a vehicle will be serviced or finished at that time. Vehicle/parts/technician/bay compatibility, diagnostic scope and final price remain operational constraints. For pet care, new-pet eligibility, coat condition, vaccination/agreements, resource capacity and pending acceptance create similar gaps. The full workbook identifies the documented and unverified operations separately. </w:t>
      </w:r>
      <w:r>
        <w:t>[</w:t>
      </w:r>
      <w:hyperlink r:id="rId69">
        <w:r>
          <w:rPr>
            <w:color w:val="1D4E6C"/>
            <w:u w:val="single"/>
          </w:rPr>
          <w:t>AUTO1</w:t>
        </w:r>
      </w:hyperlink>
      <w:r>
        <w:t xml:space="preserve">, </w:t>
      </w:r>
      <w:hyperlink r:id="rId70">
        <w:r>
          <w:rPr>
            <w:color w:val="1D4E6C"/>
            <w:u w:val="single"/>
          </w:rPr>
          <w:t>AUTO2</w:t>
        </w:r>
      </w:hyperlink>
      <w:r>
        <w:t xml:space="preserve">, </w:t>
      </w:r>
      <w:hyperlink r:id="rId74">
        <w:r>
          <w:rPr>
            <w:color w:val="1D4E6C"/>
            <w:u w:val="single"/>
          </w:rPr>
          <w:t>PET2</w:t>
        </w:r>
      </w:hyperlink>
      <w:r>
        <w:t xml:space="preserve">, </w:t>
      </w:r>
      <w:hyperlink r:id="rId75">
        <w:r>
          <w:rPr>
            <w:color w:val="1D4E6C"/>
            <w:u w:val="single"/>
          </w:rPr>
          <w:t>PET3</w:t>
        </w:r>
      </w:hyperlink>
      <w:r>
        <w:t xml:space="preserve">, </w:t>
      </w:r>
      <w:hyperlink r:id="rId77">
        <w:r>
          <w:rPr>
            <w:color w:val="1D4E6C"/>
            <w:u w:val="single"/>
          </w:rPr>
          <w:t>PET5</w:t>
        </w:r>
      </w:hyperlink>
      <w:r>
        <w:t>]</w:t>
      </w:r>
      <w:r/>
    </w:p>
    <w:p>
      <w:pPr>
        <w:pStyle w:val="Heading1"/>
      </w:pPr>
      <w:r>
        <w:t>Category comparison and conditional priorities</w:t>
      </w:r>
    </w:p>
    <w:p>
      <w:r>
        <w:t>The brief proposes frequency 30%, scope standardization 25%, no-conversation pricing 20%, supply integrability 15%, and ticket-size trust 10%. This report preserves those proposed weights but does not compute a composite score. Ticket-size trust has no agreed objective or rubric, and comparable all-in ticket distributions are absent. Adding a number just to complete a weighted formula would imply unsupported precision. The four supported dimensions receive explicitly judgmental 1 to 5 values. The final ordering is a conditional testing priority that also considers access, distribution and incremental value. Scope standardization and pricing remain hard gates for the particular service and customer cohort.</w:t>
      </w:r>
    </w:p>
    <w:p>
      <w:r>
        <w:t>Frequency scores describe a hypothesized service cadence, not measured requests to an assistant. Scope and price scores are cohort-specific. A repeat clean for an existing household can be more structured than a first-time deep clean. A haircut can be menu-priced while a corrective color service requires consultation. A routine oil change can be productized while diagnostic auto repair cannot. Changing the eligible service changes the score and the market being evaluated.</w:t>
      </w:r>
    </w:p>
    <w:p>
      <w:r>
        <w:t>Supply integrability combines documented operations with realistic access requirements. Ticket-size trust assesses the burden of approving and correcting a transaction, not simply the desirability of a larger ticket. Rankings guide interviews and should change if access or distribution evidence changes. They are not estimates of market size, conversion, revenue or investment returns.</w:t>
      </w:r>
    </w:p>
    <w:p>
      <w:pPr>
        <w:pStyle w:val="Heading2"/>
      </w:pPr>
      <w:r>
        <w:t>The four judgment scales</w:t>
      </w:r>
    </w:p>
    <w:p>
      <w:r>
        <w:t>Scope standardization runs from 1 for diagnosis/custom work, through 3 for a menu with important conditional intake, to 5 for a fixed service unit with minimal variation. Price transparency runs from 1 for no useful previsit amount, through 3 for a computable but conditional estimate, to 5 for a verified binding all-in total for the exact request. A 4 supports a bounded menu or structured quote but still needs final verification.</w:t>
      </w:r>
    </w:p>
    <w:p>
      <w:r>
        <w:t>Repeat service opportunity runs from 1 for episodic or unestablished use, 2 for annual/semiannual potential, 3 for several times yearly, 4 for roughly monthly to eight-week potential, and 5 for weekly/biweekly potential among active customers. Supply integrability runs from 1 for no suitable structured access identified, 2 for a digital product with unverified write access, 3 for documented but restricted APIs, 4 for documented availability/lifecycle with bounded merchant onboarding, and 5 for a tested authorized production integration. No price or integration score of 5 is awarded.</w:t>
      </w:r>
    </w:p>
    <w:p>
      <w:r>
        <w:t>S denotes scope standardization, P price transparency, F repeat service opportunity, and I supply integrability. All ten categories have unavailable observed request counts, unique requesting users, completion/no-phone/phone-required/abandonment rates, repeated agent-request frequency and historical fallback counts. The following scores and ordering are judgment, not a measured demand rank. The price column provides only cited local or vendor examples, not a typical ticket distribution.</w:t>
      </w:r>
    </w:p>
    <w:tbl>
      <w:tblPr>
        <w:tblW w:type="auto" w:w="0"/>
        <w:jc w:val="center"/>
        <w:tblLayout w:type="fixed"/>
        <w:tblLook w:firstColumn="1" w:firstRow="1" w:lastColumn="0" w:lastRow="0" w:noHBand="0" w:noVBand="1" w:val="04A0"/>
      </w:tblPr>
      <w:tblGrid>
        <w:gridCol w:w="2563"/>
        <w:gridCol w:w="547"/>
        <w:gridCol w:w="547"/>
        <w:gridCol w:w="547"/>
        <w:gridCol w:w="547"/>
        <w:gridCol w:w="5386"/>
      </w:tblGrid>
      <w:tr>
        <w:trPr>
          <w:tblHeader w:val="true"/>
          <w:cantSplit/>
        </w:trPr>
        <w:tc>
          <w:tcPr>
            <w:tcW w:type="dxa" w:w="2563"/>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21384A"/>
          </w:tcPr>
          <w:p>
            <w:pPr>
              <w:spacing w:after="0" w:line="250" w:lineRule="auto"/>
            </w:pPr>
            <w:r>
              <w:rPr>
                <w:b/>
                <w:color w:val="FFFFFF"/>
                <w:sz w:val="18"/>
              </w:rPr>
              <w:t>Target segment</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21384A"/>
          </w:tcPr>
          <w:p>
            <w:pPr>
              <w:spacing w:after="0" w:line="250" w:lineRule="auto"/>
            </w:pPr>
            <w:r>
              <w:rPr>
                <w:b/>
                <w:color w:val="FFFFFF"/>
                <w:sz w:val="18"/>
              </w:rPr>
              <w:t>S</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21384A"/>
          </w:tcPr>
          <w:p>
            <w:pPr>
              <w:spacing w:after="0" w:line="250" w:lineRule="auto"/>
            </w:pPr>
            <w:r>
              <w:rPr>
                <w:b/>
                <w:color w:val="FFFFFF"/>
                <w:sz w:val="18"/>
              </w:rPr>
              <w:t>P</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21384A"/>
          </w:tcPr>
          <w:p>
            <w:pPr>
              <w:spacing w:after="0" w:line="250" w:lineRule="auto"/>
            </w:pPr>
            <w:r>
              <w:rPr>
                <w:b/>
                <w:color w:val="FFFFFF"/>
                <w:sz w:val="18"/>
              </w:rPr>
              <w:t>F</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21384A"/>
          </w:tcPr>
          <w:p>
            <w:pPr>
              <w:spacing w:after="0" w:line="250" w:lineRule="auto"/>
            </w:pPr>
            <w:r>
              <w:rPr>
                <w:b/>
                <w:color w:val="FFFFFF"/>
                <w:sz w:val="18"/>
              </w:rPr>
              <w:t>I</w:t>
            </w:r>
          </w:p>
        </w:tc>
        <w:tc>
          <w:tcPr>
            <w:tcW w:type="dxa" w:w="5386"/>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21384A"/>
          </w:tcPr>
          <w:p>
            <w:pPr>
              <w:spacing w:after="0" w:line="250" w:lineRule="auto"/>
            </w:pPr>
            <w:r>
              <w:rPr>
                <w:b/>
                <w:color w:val="FFFFFF"/>
                <w:sz w:val="18"/>
              </w:rPr>
              <w:t>Published price example and boundary</w:t>
            </w:r>
          </w:p>
        </w:tc>
      </w:tr>
      <w:tr>
        <w:trPr>
          <w:cantSplit/>
        </w:trPr>
        <w:tc>
          <w:tcPr>
            <w:tcW w:type="dxa" w:w="2563"/>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Cleaning</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jc w:val="center"/>
            </w:pPr>
            <w:r>
              <w:rPr>
                <w:sz w:val="18"/>
              </w:rPr>
              <w:t>4</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jc w:val="center"/>
            </w:pPr>
            <w:r>
              <w:rPr>
                <w:sz w:val="18"/>
              </w:rPr>
              <w:t>4</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jc w:val="center"/>
            </w:pPr>
            <w:r>
              <w:rPr>
                <w:sz w:val="18"/>
              </w:rPr>
              <w:t>5</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jc w:val="center"/>
            </w:pPr>
            <w:r>
              <w:rPr>
                <w:sz w:val="18"/>
              </w:rPr>
              <w:t>3</w:t>
            </w:r>
          </w:p>
        </w:tc>
        <w:tc>
          <w:tcPr>
            <w:tcW w:type="dxa" w:w="5386"/>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 xml:space="preserve">$143 biweekly 1-bedroom clean; first clean $220; extras separate </w:t>
            </w:r>
            <w:r>
              <w:rPr>
                <w:sz w:val="18"/>
              </w:rPr>
              <w:t>[</w:t>
            </w:r>
            <w:hyperlink r:id="rId92">
              <w:r>
                <w:rPr>
                  <w:color w:val="1D4E6C"/>
                  <w:u w:val="single"/>
                </w:rPr>
                <w:t>C1</w:t>
              </w:r>
            </w:hyperlink>
            <w:r>
              <w:rPr>
                <w:sz w:val="18"/>
              </w:rPr>
              <w:t>]</w:t>
            </w:r>
            <w:r>
              <w:rPr>
                <w:sz w:val="18"/>
              </w:rPr>
            </w:r>
          </w:p>
        </w:tc>
      </w:tr>
      <w:tr>
        <w:trPr>
          <w:cantSplit/>
        </w:trPr>
        <w:tc>
          <w:tcPr>
            <w:tcW w:type="dxa" w:w="2563"/>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Beauty and barber</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jc w:val="center"/>
            </w:pPr>
            <w:r>
              <w:rPr>
                <w:sz w:val="18"/>
              </w:rPr>
              <w:t>4</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jc w:val="center"/>
            </w:pPr>
            <w:r>
              <w:rPr>
                <w:sz w:val="18"/>
              </w:rPr>
              <w:t>4</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jc w:val="center"/>
            </w:pPr>
            <w:r>
              <w:rPr>
                <w:sz w:val="18"/>
              </w:rPr>
              <w:t>4</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jc w:val="center"/>
            </w:pPr>
            <w:r>
              <w:rPr>
                <w:sz w:val="18"/>
              </w:rPr>
              <w:t>4</w:t>
            </w:r>
          </w:p>
        </w:tc>
        <w:tc>
          <w:tcPr>
            <w:tcW w:type="dxa" w:w="5386"/>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 xml:space="preserve">$40 regular haircut; $25 buzzcut; menu, not final checkout total </w:t>
            </w:r>
            <w:r>
              <w:rPr>
                <w:sz w:val="18"/>
              </w:rPr>
              <w:t>[</w:t>
            </w:r>
            <w:hyperlink r:id="rId93">
              <w:r>
                <w:rPr>
                  <w:color w:val="1D4E6C"/>
                  <w:u w:val="single"/>
                </w:rPr>
                <w:t>B1</w:t>
              </w:r>
            </w:hyperlink>
            <w:r>
              <w:rPr>
                <w:sz w:val="18"/>
              </w:rPr>
              <w:t>]</w:t>
            </w:r>
            <w:r>
              <w:rPr>
                <w:sz w:val="18"/>
              </w:rPr>
            </w:r>
          </w:p>
        </w:tc>
      </w:tr>
      <w:tr>
        <w:trPr>
          <w:cantSplit/>
        </w:trPr>
        <w:tc>
          <w:tcPr>
            <w:tcW w:type="dxa" w:w="2563"/>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Laundry pickup</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jc w:val="center"/>
            </w:pPr>
            <w:r>
              <w:rPr>
                <w:sz w:val="18"/>
              </w:rPr>
              <w:t>4</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jc w:val="center"/>
            </w:pPr>
            <w:r>
              <w:rPr>
                <w:sz w:val="18"/>
              </w:rPr>
              <w:t>4</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jc w:val="center"/>
            </w:pPr>
            <w:r>
              <w:rPr>
                <w:sz w:val="18"/>
              </w:rPr>
              <w:t>5</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jc w:val="center"/>
            </w:pPr>
            <w:r>
              <w:rPr>
                <w:sz w:val="18"/>
              </w:rPr>
              <w:t>2</w:t>
            </w:r>
          </w:p>
        </w:tc>
        <w:tc>
          <w:tcPr>
            <w:tcW w:type="dxa" w:w="5386"/>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 xml:space="preserve">$41.99 Essential bag including pickup/delivery; app-only, availability untested </w:t>
            </w:r>
            <w:r>
              <w:rPr>
                <w:sz w:val="18"/>
              </w:rPr>
              <w:t>[</w:t>
            </w:r>
            <w:hyperlink r:id="rId94">
              <w:r>
                <w:rPr>
                  <w:color w:val="1D4E6C"/>
                  <w:u w:val="single"/>
                </w:rPr>
                <w:t>L1</w:t>
              </w:r>
            </w:hyperlink>
            <w:r>
              <w:rPr>
                <w:sz w:val="18"/>
              </w:rPr>
              <w:t>]</w:t>
            </w:r>
            <w:r>
              <w:rPr>
                <w:sz w:val="18"/>
              </w:rPr>
            </w:r>
          </w:p>
        </w:tc>
      </w:tr>
      <w:tr>
        <w:trPr>
          <w:cantSplit/>
        </w:trPr>
        <w:tc>
          <w:tcPr>
            <w:tcW w:type="dxa" w:w="2563"/>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Pet grooming</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jc w:val="center"/>
            </w:pPr>
            <w:r>
              <w:rPr>
                <w:sz w:val="18"/>
              </w:rPr>
              <w:t>3</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jc w:val="center"/>
            </w:pPr>
            <w:r>
              <w:rPr>
                <w:sz w:val="18"/>
              </w:rPr>
              <w:t>2</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jc w:val="center"/>
            </w:pPr>
            <w:r>
              <w:rPr>
                <w:sz w:val="18"/>
              </w:rPr>
              <w:t>4</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jc w:val="center"/>
            </w:pPr>
            <w:r>
              <w:rPr>
                <w:sz w:val="18"/>
              </w:rPr>
              <w:t>3</w:t>
            </w:r>
          </w:p>
        </w:tc>
        <w:tc>
          <w:tcPr>
            <w:tcW w:type="dxa" w:w="5386"/>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 xml:space="preserve">$45 standard bath for 16–30 lb dog, +$20 full haircut; condition extras </w:t>
            </w:r>
            <w:r>
              <w:rPr>
                <w:sz w:val="18"/>
              </w:rPr>
              <w:t>[</w:t>
            </w:r>
            <w:hyperlink r:id="rId95">
              <w:r>
                <w:rPr>
                  <w:color w:val="1D4E6C"/>
                  <w:u w:val="single"/>
                </w:rPr>
                <w:t>G1</w:t>
              </w:r>
            </w:hyperlink>
            <w:r>
              <w:rPr>
                <w:sz w:val="18"/>
              </w:rPr>
              <w:t>]</w:t>
            </w:r>
            <w:r>
              <w:rPr>
                <w:sz w:val="18"/>
              </w:rPr>
            </w:r>
          </w:p>
        </w:tc>
      </w:tr>
      <w:tr>
        <w:trPr>
          <w:cantSplit/>
        </w:trPr>
        <w:tc>
          <w:tcPr>
            <w:tcW w:type="dxa" w:w="2563"/>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Lawn care</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jc w:val="center"/>
            </w:pPr>
            <w:r>
              <w:rPr>
                <w:sz w:val="18"/>
              </w:rPr>
              <w:t>4</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jc w:val="center"/>
            </w:pPr>
            <w:r>
              <w:rPr>
                <w:sz w:val="18"/>
              </w:rPr>
              <w:t>3</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jc w:val="center"/>
            </w:pPr>
            <w:r>
              <w:rPr>
                <w:sz w:val="18"/>
              </w:rPr>
              <w:t>5</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jc w:val="center"/>
            </w:pPr>
            <w:r>
              <w:rPr>
                <w:sz w:val="18"/>
              </w:rPr>
              <w:t>3</w:t>
            </w:r>
          </w:p>
        </w:tc>
        <w:tc>
          <w:tcPr>
            <w:tcW w:type="dxa" w:w="5386"/>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 xml:space="preserve">$60 seller-published Boston average mowing claim; sample method undisclosed </w:t>
            </w:r>
            <w:r>
              <w:rPr>
                <w:sz w:val="18"/>
              </w:rPr>
              <w:t>[</w:t>
            </w:r>
            <w:hyperlink r:id="rId96">
              <w:r>
                <w:rPr>
                  <w:color w:val="1D4E6C"/>
                  <w:u w:val="single"/>
                </w:rPr>
                <w:t>N1</w:t>
              </w:r>
            </w:hyperlink>
            <w:r>
              <w:rPr>
                <w:sz w:val="18"/>
              </w:rPr>
              <w:t>]</w:t>
            </w:r>
            <w:r>
              <w:rPr>
                <w:sz w:val="18"/>
              </w:rPr>
            </w:r>
          </w:p>
        </w:tc>
      </w:tr>
      <w:tr>
        <w:trPr>
          <w:cantSplit/>
        </w:trPr>
        <w:tc>
          <w:tcPr>
            <w:tcW w:type="dxa" w:w="2563"/>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Auto service</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jc w:val="center"/>
            </w:pPr>
            <w:r>
              <w:rPr>
                <w:sz w:val="18"/>
              </w:rPr>
              <w:t>4</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jc w:val="center"/>
            </w:pPr>
            <w:r>
              <w:rPr>
                <w:sz w:val="18"/>
              </w:rPr>
              <w:t>3</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jc w:val="center"/>
            </w:pPr>
            <w:r>
              <w:rPr>
                <w:sz w:val="18"/>
              </w:rPr>
              <w:t>2</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jc w:val="center"/>
            </w:pPr>
            <w:r>
              <w:rPr>
                <w:sz w:val="18"/>
              </w:rPr>
              <w:t>3</w:t>
            </w:r>
          </w:p>
        </w:tc>
        <w:tc>
          <w:tcPr>
            <w:tcW w:type="dxa" w:w="5386"/>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 xml:space="preserve">$35 Massachusetts inspection for most vehicles; not an oil-change or repair ticket </w:t>
            </w:r>
            <w:r>
              <w:rPr>
                <w:sz w:val="18"/>
              </w:rPr>
              <w:t>[</w:t>
            </w:r>
            <w:hyperlink r:id="rId97">
              <w:r>
                <w:rPr>
                  <w:color w:val="1D4E6C"/>
                  <w:u w:val="single"/>
                </w:rPr>
                <w:t>A1</w:t>
              </w:r>
            </w:hyperlink>
            <w:r>
              <w:rPr>
                <w:sz w:val="18"/>
              </w:rPr>
              <w:t>]</w:t>
            </w:r>
            <w:r>
              <w:rPr>
                <w:sz w:val="18"/>
              </w:rPr>
            </w:r>
          </w:p>
        </w:tc>
      </w:tr>
      <w:tr>
        <w:trPr>
          <w:cantSplit/>
        </w:trPr>
        <w:tc>
          <w:tcPr>
            <w:tcW w:type="dxa" w:w="2563"/>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HVAC maintenance</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jc w:val="center"/>
            </w:pPr>
            <w:r>
              <w:rPr>
                <w:sz w:val="18"/>
              </w:rPr>
              <w:t>4</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jc w:val="center"/>
            </w:pPr>
            <w:r>
              <w:rPr>
                <w:sz w:val="18"/>
              </w:rPr>
              <w:t>3</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jc w:val="center"/>
            </w:pPr>
            <w:r>
              <w:rPr>
                <w:sz w:val="18"/>
              </w:rPr>
              <w:t>2</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jc w:val="center"/>
            </w:pPr>
            <w:r>
              <w:rPr>
                <w:sz w:val="18"/>
              </w:rPr>
              <w:t>3</w:t>
            </w:r>
          </w:p>
        </w:tc>
        <w:tc>
          <w:tcPr>
            <w:tcW w:type="dxa" w:w="5386"/>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 xml:space="preserve">$99 tune-up promotion before 31 Oct 2026; restrictions; not all-in acceptance </w:t>
            </w:r>
            <w:r>
              <w:rPr>
                <w:sz w:val="18"/>
              </w:rPr>
              <w:t>[</w:t>
            </w:r>
            <w:hyperlink r:id="rId98">
              <w:r>
                <w:rPr>
                  <w:color w:val="1D4E6C"/>
                  <w:u w:val="single"/>
                </w:rPr>
                <w:t>H1</w:t>
              </w:r>
            </w:hyperlink>
            <w:r>
              <w:rPr>
                <w:sz w:val="18"/>
              </w:rPr>
              <w:t>]</w:t>
            </w:r>
            <w:r>
              <w:rPr>
                <w:sz w:val="18"/>
              </w:rPr>
            </w:r>
          </w:p>
        </w:tc>
      </w:tr>
      <w:tr>
        <w:trPr>
          <w:cantSplit/>
        </w:trPr>
        <w:tc>
          <w:tcPr>
            <w:tcW w:type="dxa" w:w="2563"/>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Fitness classes</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jc w:val="center"/>
            </w:pPr>
            <w:r>
              <w:rPr>
                <w:sz w:val="18"/>
              </w:rPr>
              <w:t>5</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jc w:val="center"/>
            </w:pPr>
            <w:r>
              <w:rPr>
                <w:sz w:val="18"/>
              </w:rPr>
              <w:t>4</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jc w:val="center"/>
            </w:pPr>
            <w:r>
              <w:rPr>
                <w:sz w:val="18"/>
              </w:rPr>
              <w:t>5</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jc w:val="center"/>
            </w:pPr>
            <w:r>
              <w:rPr>
                <w:sz w:val="18"/>
              </w:rPr>
              <w:t>4</w:t>
            </w:r>
          </w:p>
        </w:tc>
        <w:tc>
          <w:tcPr>
            <w:tcW w:type="dxa" w:w="5386"/>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 xml:space="preserve">$25 single class or $185 ten-pack; entitlement/intro rules differ </w:t>
            </w:r>
            <w:r>
              <w:rPr>
                <w:sz w:val="18"/>
              </w:rPr>
              <w:t>[</w:t>
            </w:r>
            <w:hyperlink r:id="rId99">
              <w:r>
                <w:rPr>
                  <w:color w:val="1D4E6C"/>
                  <w:u w:val="single"/>
                </w:rPr>
                <w:t>F1</w:t>
              </w:r>
            </w:hyperlink>
            <w:r>
              <w:rPr>
                <w:sz w:val="18"/>
              </w:rPr>
              <w:t>]</w:t>
            </w:r>
            <w:r>
              <w:rPr>
                <w:sz w:val="18"/>
              </w:rPr>
            </w:r>
          </w:p>
        </w:tc>
      </w:tr>
      <w:tr>
        <w:trPr>
          <w:cantSplit/>
        </w:trPr>
        <w:tc>
          <w:tcPr>
            <w:tcW w:type="dxa" w:w="2563"/>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Pest control</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jc w:val="center"/>
            </w:pPr>
            <w:r>
              <w:rPr>
                <w:sz w:val="18"/>
              </w:rPr>
              <w:t>3</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jc w:val="center"/>
            </w:pPr>
            <w:r>
              <w:rPr>
                <w:sz w:val="18"/>
              </w:rPr>
              <w:t>2</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jc w:val="center"/>
            </w:pPr>
            <w:r>
              <w:rPr>
                <w:sz w:val="18"/>
              </w:rPr>
              <w:t>3</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jc w:val="center"/>
            </w:pPr>
            <w:r>
              <w:rPr>
                <w:sz w:val="18"/>
              </w:rPr>
              <w:t>3</w:t>
            </w:r>
          </w:p>
        </w:tc>
        <w:tc>
          <w:tcPr>
            <w:tcW w:type="dxa" w:w="5386"/>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 xml:space="preserve">From $49/month plan or $199 one-time; monthly billing is not visit ticket </w:t>
            </w:r>
            <w:r>
              <w:rPr>
                <w:sz w:val="18"/>
              </w:rPr>
              <w:t>[</w:t>
            </w:r>
            <w:hyperlink r:id="rId100">
              <w:r>
                <w:rPr>
                  <w:color w:val="1D4E6C"/>
                  <w:u w:val="single"/>
                </w:rPr>
                <w:t>P1</w:t>
              </w:r>
            </w:hyperlink>
            <w:r>
              <w:rPr>
                <w:sz w:val="18"/>
              </w:rPr>
              <w:t>]</w:t>
            </w:r>
            <w:r>
              <w:rPr>
                <w:sz w:val="18"/>
              </w:rPr>
            </w:r>
          </w:p>
        </w:tc>
      </w:tr>
      <w:tr>
        <w:trPr>
          <w:cantSplit/>
        </w:trPr>
        <w:tc>
          <w:tcPr>
            <w:tcW w:type="dxa" w:w="2563"/>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Handyman and unknown repair</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jc w:val="center"/>
            </w:pPr>
            <w:r>
              <w:rPr>
                <w:sz w:val="18"/>
              </w:rPr>
              <w:t>2</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jc w:val="center"/>
            </w:pPr>
            <w:r>
              <w:rPr>
                <w:sz w:val="18"/>
              </w:rPr>
              <w:t>2</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jc w:val="center"/>
            </w:pPr>
            <w:r>
              <w:rPr>
                <w:sz w:val="18"/>
              </w:rPr>
              <w:t>1</w:t>
            </w:r>
          </w:p>
        </w:tc>
        <w:tc>
          <w:tcPr>
            <w:tcW w:type="dxa" w:w="547"/>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jc w:val="center"/>
            </w:pPr>
            <w:r>
              <w:rPr>
                <w:sz w:val="18"/>
              </w:rPr>
              <w:t>3</w:t>
            </w:r>
          </w:p>
        </w:tc>
        <w:tc>
          <w:tcPr>
            <w:tcW w:type="dxa" w:w="5386"/>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 xml:space="preserve">$45/hour seller-published assembly average; general repair total unresolved </w:t>
            </w:r>
            <w:r>
              <w:rPr>
                <w:sz w:val="18"/>
              </w:rPr>
              <w:t>[</w:t>
            </w:r>
            <w:hyperlink r:id="rId101">
              <w:r>
                <w:rPr>
                  <w:color w:val="1D4E6C"/>
                  <w:u w:val="single"/>
                </w:rPr>
                <w:t>R1</w:t>
              </w:r>
            </w:hyperlink>
            <w:r>
              <w:rPr>
                <w:sz w:val="18"/>
              </w:rPr>
              <w:t xml:space="preserve">, </w:t>
            </w:r>
            <w:hyperlink r:id="rId102">
              <w:r>
                <w:rPr>
                  <w:color w:val="1D4E6C"/>
                  <w:u w:val="single"/>
                </w:rPr>
                <w:t>R2</w:t>
              </w:r>
            </w:hyperlink>
            <w:r>
              <w:rPr>
                <w:sz w:val="18"/>
              </w:rPr>
              <w:t>]</w:t>
            </w:r>
            <w:r>
              <w:rPr>
                <w:sz w:val="18"/>
              </w:rPr>
            </w:r>
          </w:p>
        </w:tc>
      </w:tr>
    </w:tbl>
    <w:p>
      <w:pPr>
        <w:spacing w:after="20"/>
      </w:pPr>
    </w:p>
    <w:p>
      <w:r>
        <w:t>The cleaning score is for an existing-home relationship, the pet score for a returning known pet, and the lawn score for a known property. First-time or diagnostic work scores differently. General handyman/repair is deliberately scored conservatively; a fixed-item assembly product is a separate, more bounded subsegment. None of these software references establishes supplier market share.</w:t>
      </w:r>
    </w:p>
    <w:p>
      <w:pPr>
        <w:pStyle w:val="Heading2"/>
      </w:pPr>
      <w:r>
        <w:t>Frequency evidence</w:t>
      </w:r>
    </w:p>
    <w:p>
      <w:r>
        <w:t xml:space="preserve">Molly Maid offers weekly, biweekly and customized recurring service but also describes first-visit estimation and higher initial effort. That establishes offered cadences, not how often a representative household purchases cleaning. </w:t>
      </w:r>
      <w:r>
        <w:t>[</w:t>
      </w:r>
      <w:hyperlink r:id="rId103">
        <w:r>
          <w:rPr>
            <w:color w:val="1D4E6C"/>
            <w:u w:val="single"/>
          </w:rPr>
          <w:t>C2</w:t>
        </w:r>
      </w:hyperlink>
      <w:r>
        <w:t>]</w:t>
      </w:r>
      <w:r/>
    </w:p>
    <w:p>
      <w:r>
        <w:t xml:space="preserve">PetSmart recommends bathing/grooming approximately every four to six weeks, including at-home care. It is a provider recommendation, not paid professional grooming frequency or agent booking demand. </w:t>
      </w:r>
      <w:r>
        <w:t>[</w:t>
      </w:r>
      <w:hyperlink r:id="rId104">
        <w:r>
          <w:rPr>
            <w:color w:val="1D4E6C"/>
            <w:u w:val="single"/>
          </w:rPr>
          <w:t>G3</w:t>
        </w:r>
      </w:hyperlink>
      <w:r>
        <w:t>]</w:t>
      </w:r>
      <w:r/>
    </w:p>
    <w:p>
      <w:r>
        <w:t xml:space="preserve">Lawn Love defines weekly, 14-day and seasonal 28-day schedules, illustrating that recurring operations can already be automated. Its Boston marketing statistics are not an audited population survey. </w:t>
      </w:r>
      <w:r>
        <w:t>[</w:t>
      </w:r>
      <w:hyperlink r:id="rId96">
        <w:r>
          <w:rPr>
            <w:color w:val="1D4E6C"/>
            <w:u w:val="single"/>
          </w:rPr>
          <w:t>N1</w:t>
        </w:r>
      </w:hyperlink>
      <w:r>
        <w:t xml:space="preserve">, </w:t>
      </w:r>
      <w:hyperlink r:id="rId105">
        <w:r>
          <w:rPr>
            <w:color w:val="1D4E6C"/>
            <w:u w:val="single"/>
          </w:rPr>
          <w:t>N2</w:t>
        </w:r>
      </w:hyperlink>
      <w:r>
        <w:t>]</w:t>
      </w:r>
      <w:r/>
    </w:p>
    <w:p>
      <w:r>
        <w:t xml:space="preserve">ENERGY STAR recommends annual preseason contractor checks; heating and cooling may have separate seasonal appointments. This is maintenance guidance, not actual paid demand. </w:t>
      </w:r>
      <w:r>
        <w:t>[</w:t>
      </w:r>
      <w:hyperlink r:id="rId106">
        <w:r>
          <w:rPr>
            <w:color w:val="1D4E6C"/>
            <w:u w:val="single"/>
          </w:rPr>
          <w:t>H2</w:t>
        </w:r>
      </w:hyperlink>
      <w:r>
        <w:t>]</w:t>
      </w:r>
      <w:r/>
    </w:p>
    <w:p>
      <w:r>
        <w:t xml:space="preserve">Terminix says most of its residential recurring-service customers receive three or four services annually, varying by geography. This is the company's own customer-plan statement, not all households or new booking frequency. </w:t>
      </w:r>
      <w:r>
        <w:t>[</w:t>
      </w:r>
      <w:hyperlink r:id="rId107">
        <w:r>
          <w:rPr>
            <w:color w:val="1D4E6C"/>
            <w:u w:val="single"/>
          </w:rPr>
          <w:t>P2</w:t>
        </w:r>
      </w:hyperlink>
      <w:r>
        <w:t>]</w:t>
      </w:r>
      <w:r/>
    </w:p>
    <w:p>
      <w:r>
        <w:t>No realized household or agent repeat rate was measured for barber, laundry, classes or handyman in this study. Their F scores are explicit hypotheses about selected active-customer cohorts. Do not turn memberships into attendance, recommendations into purchases or annual household expenditure into visit counts.</w:t>
      </w:r>
    </w:p>
    <w:p>
      <w:r>
        <w:t xml:space="preserve">BLS reports average 2024 spending of $978 per consumer unit on </w:t>
      </w:r>
      <w:r>
        <w:rPr>
          <w:b/>
        </w:rPr>
        <w:t>personal care products and services combined</w:t>
      </w:r>
      <w:r>
        <w:t xml:space="preserve">. It does not isolate booking demand; the category combines goods and services and averages across users and nonusers. We intentionally do not divide this number by a haircut menu price or use it to size this rail. </w:t>
      </w:r>
      <w:r>
        <w:t>[</w:t>
      </w:r>
      <w:hyperlink r:id="rId108">
        <w:r>
          <w:rPr>
            <w:color w:val="1D4E6C"/>
            <w:u w:val="single"/>
          </w:rPr>
          <w:t>BLS</w:t>
        </w:r>
      </w:hyperlink>
      <w:r>
        <w:t>]</w:t>
      </w:r>
      <w:r/>
    </w:p>
    <w:p>
      <w:pPr>
        <w:pStyle w:val="Heading2"/>
      </w:pPr>
      <w:r>
        <w:t>Conditional order for testing</w:t>
      </w:r>
    </w:p>
    <w:p>
      <w:r>
        <w:t xml:space="preserve">This ranking is </w:t>
      </w:r>
      <w:r>
        <w:rPr>
          <w:b/>
        </w:rPr>
        <w:t>judgment about testing order</w:t>
      </w:r>
      <w:r>
        <w:t>, not pain prevalence, request volume or a statistically estimated top ten. Differences between adjacent ranks are weakly supported. A permissioned distribution partner could change the order completely.</w:t>
      </w:r>
    </w:p>
    <w:p>
      <w:r>
        <w:t xml:space="preserve">1. </w:t>
      </w:r>
      <w:r>
        <w:rPr>
          <w:b/>
        </w:rPr>
        <w:t>Cleaning exceptions for known households.</w:t>
      </w:r>
      <w:r>
        <w:t xml:space="preserve"> Test an agent-accessible link to an existing recurring relationship, with extra clean, pause/restart and reschedule actions only when supported. Kill it if native self-service already handles the need, exceptions are rare, or supplier access requires unaffordable onboarding.</w:t>
      </w:r>
    </w:p>
    <w:p>
      <w:r>
        <w:t xml:space="preserve">2. </w:t>
      </w:r>
      <w:r>
        <w:rPr>
          <w:b/>
        </w:rPr>
        <w:t>Standard barber rebooking.</w:t>
      </w:r>
      <w:r>
        <w:t xml:space="preserve"> Useful technical control with known staff/service, stable duration and documented Square operations, limited initially to zero-cancellation-fee services. A new booking for a returning customer fits buyer-level scope; changing a pre-existing booking made outside the app may require seller-level access and a paid plan. Commercial wedge needs an audience or cross-provider workflow that Square's booking link does not already serve.</w:t>
      </w:r>
    </w:p>
    <w:p>
      <w:r>
        <w:t xml:space="preserve">3. </w:t>
      </w:r>
      <w:r>
        <w:rPr>
          <w:b/>
        </w:rPr>
        <w:t>Fixed-bag laundry through a building or concierge channel.</w:t>
      </w:r>
      <w:r>
        <w:t xml:space="preserve"> A bounded bag, route-day and pickup/dropoff policy can simplify quoting. The hypothesis becomes more plausible with concentrated distribution, but building partnerships and operator permission are unproven. Weight-based models must not claim a final total before weighing.</w:t>
      </w:r>
    </w:p>
    <w:p>
      <w:r>
        <w:t xml:space="preserve">4. </w:t>
      </w:r>
      <w:r>
        <w:rPr>
          <w:b/>
        </w:rPr>
        <w:t>Returning-pet salon rebooking.</w:t>
      </w:r>
      <w:r>
        <w:t xml:space="preserve"> Preserve the pet's established package, eligibility and duration. Avoid mobile routing and new-pet assessment initially. Kill if final pricing remains unresolved until check-in or eligible capacity is too scarce for a better interface to matter.</w:t>
      </w:r>
    </w:p>
    <w:p>
      <w:r>
        <w:t xml:space="preserve">5. </w:t>
      </w:r>
      <w:r>
        <w:rPr>
          <w:b/>
        </w:rPr>
        <w:t>Known-property lawn exceptions.</w:t>
      </w:r>
      <w:r>
        <w:t xml:space="preserve"> Weather reschedules, pause/restart and approved add-ons may matter more than regular mowing. Seasonal volume and already automated recurrence cap usage; route rules must remain authoritative.</w:t>
      </w:r>
    </w:p>
    <w:p>
      <w:r>
        <w:t xml:space="preserve">6. </w:t>
      </w:r>
      <w:r>
        <w:rPr>
          <w:b/>
        </w:rPr>
        <w:t>Fixed auto-maintenance appointment.</w:t>
      </w:r>
      <w:r>
        <w:t xml:space="preserve"> Inspection or a precisely identified service is testable; the rail must distinguish a drop-off appointment from a guaranteed service-completion time. Low service frequency and $35 inspection value limit transaction fees.</w:t>
      </w:r>
    </w:p>
    <w:p>
      <w:r>
        <w:t xml:space="preserve">7. </w:t>
      </w:r>
      <w:r>
        <w:rPr>
          <w:b/>
        </w:rPr>
        <w:t>HVAC maintenance booking for an existing plan.</w:t>
      </w:r>
      <w:r>
        <w:t xml:space="preserve"> Potential renewal/seasonal reminder distribution, but few yearly events. A partner already reaching customers can matter more than a new search marketplace. Do not include emergency repair diagnosis.</w:t>
      </w:r>
    </w:p>
    <w:p>
      <w:r>
        <w:t xml:space="preserve">8. </w:t>
      </w:r>
      <w:r>
        <w:rPr>
          <w:b/>
        </w:rPr>
        <w:t>Fitness class booking and waitlist changes.</w:t>
      </w:r>
      <w:r>
        <w:t xml:space="preserve"> Strong technical fit and possible frequent intent, but existing Mindbody/ClassPass distribution and upstream booking charges constrain incremental value. A good control case; not a missing-rail claim.</w:t>
      </w:r>
    </w:p>
    <w:p>
      <w:r>
        <w:t xml:space="preserve">9. </w:t>
      </w:r>
      <w:r>
        <w:rPr>
          <w:b/>
        </w:rPr>
        <w:t>Routine pest-plan changes.</w:t>
      </w:r>
      <w:r>
        <w:t xml:space="preserve"> Established-customer exceptions may be structured. Inspection, species uncertainty and service-plan billing make first-time instant pricing weaker; recurring service can eliminate repeat booking events.</w:t>
      </w:r>
    </w:p>
    <w:p>
      <w:r>
        <w:t xml:space="preserve">10. </w:t>
      </w:r>
      <w:r>
        <w:rPr>
          <w:b/>
        </w:rPr>
        <w:t>General handyman and diagnostic repair.</w:t>
      </w:r>
      <w:r>
        <w:t xml:space="preserve"> Defer. A narrow item-based assembly SKU is more promising, especially with retailer demand, but that is a different distribution wedge already demonstrated by IKEA/Taskrabbit. Avoid treating "submit a request" as a fixed-price booking.</w:t>
      </w:r>
    </w:p>
    <w:p>
      <w:pPr>
        <w:pStyle w:val="Heading1"/>
      </w:pPr>
      <w:r>
        <w:t>Commercial value and incumbent competition</w:t>
      </w:r>
    </w:p>
    <w:p>
      <w:r>
        <w:t>A category can have many phone calls because the work is hard to scope or capacity is scarce. That can be a bad rail business. A supplier ready to integrate may already have good digital booking, reducing avoidable friction. Under-digitized suppliers can have more pain but no system of record or incentive to expose capacity. This is the central selection trade-off, not proof of an unsolved API market.</w:t>
      </w:r>
    </w:p>
    <w:p>
      <w:r>
        <w:t>Primary sources show substantial incumbents:</w:t>
      </w:r>
    </w:p>
    <w:p>
      <w:pPr>
        <w:tabs>
          <w:tab w:pos="360" w:val="left"/>
        </w:tabs>
        <w:ind w:left="360" w:hanging="360"/>
      </w:pPr>
      <w:r>
        <w:t>•</w:t>
        <w:tab/>
      </w:r>
      <w:r>
        <w:t xml:space="preserve">Launch27 already offers real-time availability, flexible prices, recurrence and customer self-service. Its API is presented as a way to customize booking. </w:t>
      </w:r>
      <w:r>
        <w:t>[</w:t>
      </w:r>
      <w:hyperlink r:id="rId17">
        <w:r>
          <w:rPr>
            <w:color w:val="1D4E6C"/>
            <w:u w:val="single"/>
          </w:rPr>
          <w:t>C3</w:t>
        </w:r>
      </w:hyperlink>
      <w:r>
        <w:t>]</w:t>
      </w:r>
      <w:r/>
    </w:p>
    <w:p>
      <w:pPr>
        <w:tabs>
          <w:tab w:pos="360" w:val="left"/>
        </w:tabs>
        <w:ind w:left="360" w:hanging="360"/>
      </w:pPr>
      <w:r>
        <w:t>•</w:t>
        <w:tab/>
      </w:r>
      <w:r>
        <w:t xml:space="preserve">HCP already supplies online booking with pricing, service areas and employee scheduling. Its own CSR AI competes for automated intake/booking. </w:t>
      </w:r>
      <w:r>
        <w:t>[</w:t>
      </w:r>
      <w:hyperlink r:id="rId18">
        <w:r>
          <w:rPr>
            <w:color w:val="1D4E6C"/>
            <w:u w:val="single"/>
          </w:rPr>
          <w:t>C4</w:t>
        </w:r>
      </w:hyperlink>
      <w:r>
        <w:t xml:space="preserve">, </w:t>
      </w:r>
      <w:hyperlink r:id="rId20">
        <w:r>
          <w:rPr>
            <w:color w:val="1D4E6C"/>
            <w:u w:val="single"/>
          </w:rPr>
          <w:t>C6</w:t>
        </w:r>
      </w:hyperlink>
      <w:r>
        <w:t>]</w:t>
      </w:r>
      <w:r/>
    </w:p>
    <w:p>
      <w:pPr>
        <w:tabs>
          <w:tab w:pos="360" w:val="left"/>
        </w:tabs>
        <w:ind w:left="360" w:hanging="360"/>
      </w:pPr>
      <w:r>
        <w:t>•</w:t>
        <w:tab/>
      </w:r>
      <w:r>
        <w:t xml:space="preserve">Jobber online booking incorporates drive-time limits and has a Receptionist product that supports existing-client visit questions and changes. </w:t>
      </w:r>
      <w:r>
        <w:t>[</w:t>
      </w:r>
      <w:hyperlink r:id="rId19">
        <w:r>
          <w:rPr>
            <w:color w:val="1D4E6C"/>
            <w:u w:val="single"/>
          </w:rPr>
          <w:t>C5</w:t>
        </w:r>
      </w:hyperlink>
      <w:r>
        <w:t xml:space="preserve">, </w:t>
      </w:r>
      <w:hyperlink r:id="rId21">
        <w:r>
          <w:rPr>
            <w:color w:val="1D4E6C"/>
            <w:u w:val="single"/>
          </w:rPr>
          <w:t>C7</w:t>
        </w:r>
      </w:hyperlink>
      <w:r>
        <w:t>]</w:t>
      </w:r>
      <w:r/>
    </w:p>
    <w:p>
      <w:pPr>
        <w:tabs>
          <w:tab w:pos="360" w:val="left"/>
        </w:tabs>
        <w:ind w:left="360" w:hanging="360"/>
      </w:pPr>
      <w:r>
        <w:t>•</w:t>
        <w:tab/>
      </w:r>
      <w:r>
        <w:t xml:space="preserve">Square already provides booking APIs and merchant booking surfaces. A connector does not by itself create customer distribution or authorize every merchant. </w:t>
      </w:r>
      <w:r>
        <w:t>[</w:t>
      </w:r>
      <w:hyperlink r:id="rId12">
        <w:r>
          <w:rPr>
            <w:color w:val="1D4E6C"/>
            <w:u w:val="single"/>
          </w:rPr>
          <w:t>B2</w:t>
        </w:r>
      </w:hyperlink>
      <w:r>
        <w:t>]</w:t>
      </w:r>
      <w:r/>
    </w:p>
    <w:p>
      <w:pPr>
        <w:tabs>
          <w:tab w:pos="360" w:val="left"/>
        </w:tabs>
        <w:ind w:left="360" w:hanging="360"/>
      </w:pPr>
      <w:r>
        <w:t>•</w:t>
        <w:tab/>
      </w:r>
      <w:r>
        <w:t xml:space="preserve">Mindbody has booking APIs, its consumer app and an integration ecosystem including ClassPass. Its developer portal, subsequently corroborated in the live browser, lists $15/location/integration plus $1.30/class booking or $2.50/appointment booking under Consumer Bookings, alongside free-access conditions. Exact applicability and contract terms must be confirmed before a pricing decision. </w:t>
      </w:r>
      <w:r>
        <w:t>[</w:t>
      </w:r>
      <w:hyperlink r:id="rId54">
        <w:r>
          <w:rPr>
            <w:color w:val="1D4E6C"/>
            <w:u w:val="single"/>
          </w:rPr>
          <w:t>F2</w:t>
        </w:r>
      </w:hyperlink>
      <w:r>
        <w:t xml:space="preserve">, </w:t>
      </w:r>
      <w:hyperlink r:id="rId109">
        <w:r>
          <w:rPr>
            <w:color w:val="1D4E6C"/>
            <w:u w:val="single"/>
          </w:rPr>
          <w:t>F3</w:t>
        </w:r>
      </w:hyperlink>
      <w:r>
        <w:t>]</w:t>
      </w:r>
      <w:r/>
    </w:p>
    <w:p>
      <w:pPr>
        <w:tabs>
          <w:tab w:pos="360" w:val="left"/>
        </w:tabs>
        <w:ind w:left="360" w:hanging="360"/>
      </w:pPr>
      <w:r>
        <w:t>•</w:t>
        <w:tab/>
      </w:r>
      <w:r>
        <w:t xml:space="preserve">Cents already offers repeat laundry ordering and route controls. </w:t>
      </w:r>
      <w:r>
        <w:t>[</w:t>
      </w:r>
      <w:hyperlink r:id="rId110">
        <w:r>
          <w:rPr>
            <w:color w:val="1D4E6C"/>
            <w:u w:val="single"/>
          </w:rPr>
          <w:t>L2</w:t>
        </w:r>
      </w:hyperlink>
      <w:r>
        <w:t>]</w:t>
      </w:r>
      <w:r/>
    </w:p>
    <w:p>
      <w:r>
        <w:t>The defensible hypothesis is permissioned demand, high-quality normalization across providers, portable user preferences, audit-ready authorization and reliable lifecycle management. Calling existing APIs through MCP is an implementation choice. It is not alone evidence of a moat.</w:t>
      </w:r>
    </w:p>
    <w:p>
      <w:r>
        <w:t>Supplier willingness to participate is conditional:</w:t>
      </w:r>
    </w:p>
    <w:p>
      <w:pPr>
        <w:tabs>
          <w:tab w:pos="360" w:val="left"/>
        </w:tabs>
        <w:ind w:left="360" w:hanging="360"/>
      </w:pPr>
      <w:r>
        <w:t>•</w:t>
        <w:tab/>
      </w:r>
      <w:r>
        <w:t>A supplier with idle capacity may value demonstrably incremental customers</w:t>
      </w:r>
    </w:p>
    <w:p>
      <w:pPr>
        <w:tabs>
          <w:tab w:pos="360" w:val="left"/>
        </w:tabs>
        <w:ind w:left="360" w:hanging="360"/>
      </w:pPr>
      <w:r>
        <w:t>•</w:t>
        <w:tab/>
      </w:r>
      <w:r>
        <w:t>A supplier already full may value fewer interruptions, fewer no-shows or more profitable route density instead of more leads</w:t>
      </w:r>
    </w:p>
    <w:p>
      <w:pPr>
        <w:tabs>
          <w:tab w:pos="360" w:val="left"/>
        </w:tabs>
        <w:ind w:left="360" w:hanging="360"/>
      </w:pPr>
      <w:r>
        <w:t>•</w:t>
        <w:tab/>
      </w:r>
      <w:r>
        <w:t>A supplier can reject a channel that commoditizes price, changes customer ownership, increases cancellations or sends poorly qualified jobs</w:t>
      </w:r>
    </w:p>
    <w:p>
      <w:pPr>
        <w:tabs>
          <w:tab w:pos="360" w:val="left"/>
        </w:tabs>
        <w:ind w:left="360" w:hanging="360"/>
      </w:pPr>
      <w:r>
        <w:t>•</w:t>
        <w:tab/>
      </w:r>
      <w:r>
        <w:t>A recurring supplier is unlikely to pay an acquisition fee on every automatically scheduled visit without measurable incremental value</w:t>
      </w:r>
    </w:p>
    <w:p>
      <w:pPr>
        <w:tabs>
          <w:tab w:pos="360" w:val="left"/>
        </w:tabs>
        <w:ind w:left="360" w:hanging="360"/>
      </w:pPr>
      <w:r>
        <w:t>•</w:t>
        <w:tab/>
      </w:r>
      <w:r>
        <w:t>An agent platform may pay for execution reliability, but no such willingness to pay was established here</w:t>
      </w:r>
    </w:p>
    <w:p>
      <w:r>
        <w:t>A new-customer lead product and an existing-customer operational rail need different attribution and prices. Charging on total service GMV without identifying who created incremental value overstates the addressable revenue.</w:t>
      </w:r>
    </w:p>
    <w:p>
      <w:r>
        <w:t>Buyer-agent orchestration serves the customer across providers. A supplier-native receptionist serves one operator and its capacity, policies and customer relationships. These products can coexist, but their overlap is economically important: an external rail must demonstrate incremental distribution or lower handling cost after the native portal/receptionist baseline. A new-customer lead-acquisition product and an existing-customer exception-management service need separate attribution, pricing and success metrics.</w:t>
      </w:r>
    </w:p>
    <w:p>
      <w:pPr>
        <w:pStyle w:val="Heading2"/>
      </w:pPr>
      <w:r>
        <w:t>Assumed economics rather than a forecast</w:t>
      </w:r>
    </w:p>
    <w:p>
      <w:r>
        <w:t>These numbers are scenarios, not observed prices, demand, costs, revenue forecasts or industry margins. They deliberately exclude fixed engineering/sales costs and show why discovery must precede scaling.</w:t>
      </w:r>
    </w:p>
    <w:p>
      <w:pPr>
        <w:pStyle w:val="Heading3"/>
      </w:pPr>
      <w:r>
        <w:t>Exception volume is the denominator</w:t>
      </w:r>
    </w:p>
    <w:p>
      <w:r>
        <w:t xml:space="preserve">Assume one cleaning operator performs 1,000 visits/month, and 5% generate a customer-initiated change that the rail can address. That is </w:t>
      </w:r>
      <w:r>
        <w:rPr>
          <w:b/>
        </w:rPr>
        <w:t>50 operations</w:t>
      </w:r>
      <w:r>
        <w:t>, not 1,000 new bookings. At an assumed $2/operation, revenue would be $100/operator/month.</w:t>
      </w:r>
    </w:p>
    <w:p>
      <w:r>
        <w:t xml:space="preserve">If the current process takes three staff minutes at an assumed loaded cost of $30/hour, the maximum gross labor value is 50 × 3/60 × $30 = </w:t>
      </w:r>
      <w:r>
        <w:rPr>
          <w:b/>
        </w:rPr>
        <w:t>$75/month</w:t>
      </w:r>
      <w:r>
        <w:t>, before residual handling. A $100 charge is unattractive on labor savings alone. At eight minutes each, the gross maximum is $200; value after residual work may support a fee, but must be measured against the existing portal/receptionist baseline.</w:t>
      </w:r>
    </w:p>
    <w:p>
      <w:r>
        <w:t>At the same assumed 50 monthly operations, 100 active operators yield 5,000 operations and $10,000 monthly gross revenue at $2 each. This arithmetic demonstrates the scale required; it is not a pipeline forecast or evidence those operators exist or will adopt.</w:t>
      </w:r>
    </w:p>
    <w:p>
      <w:pPr>
        <w:pStyle w:val="Heading3"/>
      </w:pPr>
      <w:r>
        <w:t>Variable cost sensitivity</w:t>
      </w:r>
    </w:p>
    <w:p>
      <w:r>
        <w:t xml:space="preserve">For a hypothetical $2 operation fee, assume $0.50 upstream fee, $0.10 infrastructure and 10% of operations needing six human minutes at $30/hour. Expected support cost is $0.30/operation. Contribution before fixed costs is </w:t>
      </w:r>
      <w:r>
        <w:rPr>
          <w:b/>
        </w:rPr>
        <w:t>$1.10/operation</w:t>
      </w:r>
      <w:r>
        <w:t>, or 55%.</w:t>
      </w:r>
    </w:p>
    <w:p>
      <w:r>
        <w:t xml:space="preserve">If exception handling rises to 30% at ten minutes, expected support becomes $1.50 and contribution becomes </w:t>
      </w:r>
      <w:r>
        <w:rPr>
          <w:b/>
        </w:rPr>
        <w:t>negative $0.10</w:t>
      </w:r>
      <w:r>
        <w:t>, before acquisition and onboarding. API reliability and scope boundaries therefore affect feasibility more than a large service bill does.</w:t>
      </w:r>
    </w:p>
    <w:p>
      <w:r>
        <w:t xml:space="preserve">For fitness, apply the published Mindbody class-booking charge as an illustration: a hypothetical $2 rail fee minus $1.30 upstream leaves $0.70 before allocated location charge, infrastructure, support and acquisition. A $2 appointment fee would not cover a $2.50 upstream appointment charge. This is not a quote for a particular integration contract. </w:t>
      </w:r>
      <w:r>
        <w:t>[</w:t>
      </w:r>
      <w:hyperlink r:id="rId54">
        <w:r>
          <w:rPr>
            <w:color w:val="1D4E6C"/>
            <w:u w:val="single"/>
          </w:rPr>
          <w:t>F2</w:t>
        </w:r>
      </w:hyperlink>
      <w:r>
        <w:t>]</w:t>
      </w:r>
      <w:r/>
    </w:p>
    <w:p>
      <w:pPr>
        <w:pStyle w:val="Heading3"/>
      </w:pPr>
      <w:r>
        <w:t>Proposed pricing tests</w:t>
      </w:r>
    </w:p>
    <w:p>
      <w:r>
        <w:t>Test one payer and one job at a time: operator subscription for verified admin savings; agent/distribution partner per successful authorized operation; or supplier fee for verified incremental first bookings. Do not simultaneously assume all three revenue streams on the same action. For supplier ROI, compare contribution margin or real labor saved rather than revenue. Record refunds, disputes, compensation, onboarding effort and ongoing support.</w:t>
      </w:r>
    </w:p>
    <w:p>
      <w:pPr>
        <w:pStyle w:val="Heading1"/>
      </w:pPr>
      <w:r>
        <w:t>Minimum product requirements</w:t>
      </w:r>
    </w:p>
    <w:p>
      <w:r>
        <w:t>A booking API is a programmatic interface to another system. Model Context Protocol, or MCP, is a standard interface through which an agent can discover and call tools. Neither a tool schema nor an HTTP success response proves a reservation exists. The product must preserve the supplier's commercial meaning and the customer's authorization across each operation.</w:t>
      </w:r>
    </w:p>
    <w:p>
      <w:r>
        <w:t>The proposed specification below contains 15 requirement and acceptance-evidence rows. These are requirements to implement and test, not completed acceptance tests or claims that every upstream platform already satisfies them. P0 means required before live write execution; P1 means required for operating and evaluating a continuing pilot.</w:t>
      </w:r>
    </w:p>
    <w:tbl>
      <w:tblPr>
        <w:tblW w:type="auto" w:w="0"/>
        <w:jc w:val="center"/>
        <w:tblLayout w:type="fixed"/>
        <w:tblLook w:firstColumn="1" w:firstRow="1" w:lastColumn="0" w:lastRow="0" w:noHBand="0" w:noVBand="1" w:val="04A0"/>
      </w:tblPr>
      <w:tblGrid>
        <w:gridCol w:w="2088"/>
        <w:gridCol w:w="3672"/>
        <w:gridCol w:w="4378"/>
      </w:tblGrid>
      <w:tr>
        <w:trPr>
          <w:tblHeader w:val="true"/>
          <w:cantSplit/>
        </w:trPr>
        <w:tc>
          <w:tcPr>
            <w:tcW w:type="dxa" w:w="208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21384A"/>
          </w:tcPr>
          <w:p>
            <w:pPr>
              <w:spacing w:after="0" w:line="250" w:lineRule="auto"/>
            </w:pPr>
            <w:r>
              <w:rPr>
                <w:b/>
                <w:color w:val="FFFFFF"/>
                <w:sz w:val="18"/>
              </w:rPr>
              <w:t>Requirement</w:t>
            </w:r>
          </w:p>
        </w:tc>
        <w:tc>
          <w:tcPr>
            <w:tcW w:type="dxa" w:w="3672"/>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21384A"/>
          </w:tcPr>
          <w:p>
            <w:pPr>
              <w:spacing w:after="0" w:line="250" w:lineRule="auto"/>
            </w:pPr>
            <w:r>
              <w:rPr>
                <w:b/>
                <w:color w:val="FFFFFF"/>
                <w:sz w:val="18"/>
              </w:rPr>
              <w:t>Minimum behavior</w:t>
            </w:r>
          </w:p>
        </w:tc>
        <w:tc>
          <w:tcPr>
            <w:tcW w:type="dxa" w:w="437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21384A"/>
          </w:tcPr>
          <w:p>
            <w:pPr>
              <w:spacing w:after="0" w:line="250" w:lineRule="auto"/>
            </w:pPr>
            <w:r>
              <w:rPr>
                <w:b/>
                <w:color w:val="FFFFFF"/>
                <w:sz w:val="18"/>
              </w:rPr>
              <w:t>Acceptance evidence</w:t>
            </w:r>
          </w:p>
        </w:tc>
      </w:tr>
      <w:tr>
        <w:trPr>
          <w:cantSplit/>
        </w:trPr>
        <w:tc>
          <w:tcPr>
            <w:tcW w:type="dxa" w:w="208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P0 Access and rights</w:t>
            </w:r>
          </w:p>
        </w:tc>
        <w:tc>
          <w:tcPr>
            <w:tcW w:type="dxa" w:w="3672"/>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Merchant opt-in, correct production entitlement, permitted agent / distribution use case, platform approval where needed, narrowly scoped credentials, revocation procedure</w:t>
            </w:r>
          </w:p>
        </w:tc>
        <w:tc>
          <w:tcPr>
            <w:tcW w:type="dxa" w:w="437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Consent and contract recorded; two authorized tenants tested; revoked tenant immediately loses service; no shared cross-tenant credentials</w:t>
            </w:r>
          </w:p>
        </w:tc>
      </w:tr>
      <w:tr>
        <w:trPr>
          <w:cantSplit/>
        </w:trPr>
        <w:tc>
          <w:tcPr>
            <w:tcW w:type="dxa" w:w="208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P0 Capability discovery</w:t>
            </w:r>
          </w:p>
        </w:tc>
        <w:tc>
          <w:tcPr>
            <w:tcW w:type="dxa" w:w="3672"/>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Per provider / service declare quote, slot, request, commit, hold, cancellation, payment, webhook and reschedule capabilities; identify unsupported variants</w:t>
            </w:r>
          </w:p>
        </w:tc>
        <w:tc>
          <w:tcPr>
            <w:tcW w:type="dxa" w:w="437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Same caller receives explicit unsupported / needs-human result, never silently approximated behavior</w:t>
            </w:r>
          </w:p>
        </w:tc>
      </w:tr>
      <w:tr>
        <w:trPr>
          <w:cantSplit/>
        </w:trPr>
        <w:tc>
          <w:tcPr>
            <w:tcW w:type="dxa" w:w="208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P0 Service and eligibility model</w:t>
            </w:r>
          </w:p>
        </w:tc>
        <w:tc>
          <w:tcPr>
            <w:tcW w:type="dxa" w:w="3672"/>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Merchant service IDs / version, exact scope, exclusions, required inputs, staff / resource skills, service area, new / existing-client rules, lead times, arrival window versus start time</w:t>
            </w:r>
          </w:p>
        </w:tc>
        <w:tc>
          <w:tcPr>
            <w:tcW w:type="dxa" w:w="437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Ineligible address, breed / size, vehicle / service, membership or provider pairing cannot reach commit; changed catalog invalidates stale offer</w:t>
            </w:r>
          </w:p>
        </w:tc>
      </w:tr>
      <w:tr>
        <w:trPr>
          <w:cantSplit/>
        </w:trPr>
        <w:tc>
          <w:tcPr>
            <w:tcW w:type="dxa" w:w="208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P0 Commercial offer</w:t>
            </w:r>
          </w:p>
        </w:tc>
        <w:tc>
          <w:tcPr>
            <w:tcW w:type="dxa" w:w="3672"/>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Itemized currency, base / options / taxes / mandatory fees, deposit versus full amount due, remaining balance, expiration, cancellation / no-show / refund terms; differentiate fixed total / estimate / inspection fee</w:t>
            </w:r>
          </w:p>
        </w:tc>
        <w:tc>
          <w:tcPr>
            <w:tcW w:type="dxa" w:w="437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Client cannot convert “from $X” or a writable arbitrary unit_price into guaranteed total; offer change requires renewed authorization</w:t>
            </w:r>
          </w:p>
        </w:tc>
      </w:tr>
      <w:tr>
        <w:trPr>
          <w:cantSplit/>
        </w:trPr>
        <w:tc>
          <w:tcPr>
            <w:tcW w:type="dxa" w:w="208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P0 Live capacity</w:t>
            </w:r>
          </w:p>
        </w:tc>
        <w:tc>
          <w:tcPr>
            <w:tcW w:type="dxa" w:w="3672"/>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Query supplier source of truth; account for full service duration, preparation / cleanup, resources, travel / routing where relevant, closures and time zones</w:t>
            </w:r>
          </w:p>
        </w:tc>
        <w:tc>
          <w:tcPr>
            <w:tcW w:type="dxa" w:w="437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Two agents target one slot; only valid capacity is committed. DST transition, service duration overrun, same-day cutoffs and provider change tests pass</w:t>
            </w:r>
          </w:p>
        </w:tc>
      </w:tr>
      <w:tr>
        <w:trPr>
          <w:cantSplit/>
        </w:trPr>
        <w:tc>
          <w:tcPr>
            <w:tcW w:type="dxa" w:w="208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P0 Hold semantics</w:t>
            </w:r>
          </w:p>
        </w:tc>
        <w:tc>
          <w:tcPr>
            <w:tcW w:type="dxa" w:w="3672"/>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Expose holds only when upstream guarantees them; bind hold to tenant / customer / service / price / time; record expiry and release</w:t>
            </w:r>
          </w:p>
        </w:tc>
        <w:tc>
          <w:tcPr>
            <w:tcW w:type="dxa" w:w="437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Expired or mismatched hold rejected. Abandoned holds released. If no upstream lease exists, UI says unreserved and adapter handles race at commit</w:t>
            </w:r>
          </w:p>
        </w:tc>
      </w:tr>
      <w:tr>
        <w:trPr>
          <w:cantSplit/>
        </w:trPr>
        <w:tc>
          <w:tcPr>
            <w:tcW w:type="dxa" w:w="208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P0 Exactly-once intent</w:t>
            </w:r>
          </w:p>
        </w:tc>
        <w:tc>
          <w:tcPr>
            <w:tcW w:type="dxa" w:w="3672"/>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Durable middleware idempotency key + immutable request hash + upstream key where supported + outcome lookup; serialize same intent</w:t>
            </w:r>
          </w:p>
        </w:tc>
        <w:tc>
          <w:tcPr>
            <w:tcW w:type="dxa" w:w="437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Repeated request, concurrent retries, connection loss after successful write and process crash produce one booking / one charge or explicit unresolved state</w:t>
            </w:r>
          </w:p>
        </w:tc>
      </w:tr>
      <w:tr>
        <w:trPr>
          <w:cantSplit/>
        </w:trPr>
        <w:tc>
          <w:tcPr>
            <w:tcW w:type="dxa" w:w="208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P0 State semantics</w:t>
            </w:r>
          </w:p>
        </w:tc>
        <w:tc>
          <w:tcPr>
            <w:tcW w:type="dxa" w:w="3672"/>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Separate quote / request / waitlist / hold / pending provider / payment required / in-flight / confirmed / failed / unknown; persist upstream identifiers and raw status</w:t>
            </w:r>
          </w:p>
        </w:tc>
        <w:tc>
          <w:tcPr>
            <w:tcW w:type="dxa" w:w="437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No “confirmed” message after HTTP 200 alone. Accepted record, allocated capacity and required payment conditions checked</w:t>
            </w:r>
          </w:p>
        </w:tc>
      </w:tr>
      <w:tr>
        <w:trPr>
          <w:cantSplit/>
        </w:trPr>
        <w:tc>
          <w:tcPr>
            <w:tcW w:type="dxa" w:w="208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P0 Payments</w:t>
            </w:r>
          </w:p>
        </w:tc>
        <w:tc>
          <w:tcPr>
            <w:tcW w:type="dxa" w:w="3672"/>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Prefer provider-hosted / tokenized payment flow; preserve merchant-of-record, charge authorization, deposit policy, SCA / verification and receipt / refund links</w:t>
            </w:r>
          </w:p>
        </w:tc>
        <w:tc>
          <w:tcPr>
            <w:tcW w:type="dxa" w:w="437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Card data absent from agent transcript / logs; payment succeeds+booking fails and booking succeeds+payment fails each have tested compensating / recovery behavior</w:t>
            </w:r>
          </w:p>
        </w:tc>
      </w:tr>
      <w:tr>
        <w:trPr>
          <w:cantSplit/>
        </w:trPr>
        <w:tc>
          <w:tcPr>
            <w:tcW w:type="dxa" w:w="208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P0 Consent and audit</w:t>
            </w:r>
          </w:p>
        </w:tc>
        <w:tc>
          <w:tcPr>
            <w:tcW w:type="dxa" w:w="3672"/>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Consumer action authorization separated from provider OAuth grant; immutable record of service / price / terms version, acting user / client, recipient, time, scope and result</w:t>
            </w:r>
          </w:p>
        </w:tc>
        <w:tc>
          <w:tcPr>
            <w:tcW w:type="dxa" w:w="437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Audit can reconstruct exactly who authorized the specific purchase, what was shown and what upstream state resulted without retaining unnecessary sensitive content</w:t>
            </w:r>
          </w:p>
        </w:tc>
      </w:tr>
      <w:tr>
        <w:trPr>
          <w:cantSplit/>
        </w:trPr>
        <w:tc>
          <w:tcPr>
            <w:tcW w:type="dxa" w:w="208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P0 Notifications</w:t>
            </w:r>
          </w:p>
        </w:tc>
        <w:tc>
          <w:tcPr>
            <w:tcW w:type="dxa" w:w="3672"/>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Verify webhook signatures, deduplicate, tolerate retries / out-of-order events, fetch current authoritative state, retry reconciliation, own notification delivery</w:t>
            </w:r>
          </w:p>
        </w:tc>
        <w:tc>
          <w:tcPr>
            <w:tcW w:type="dxa" w:w="437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Merchant reschedule / cancel arrives and corrects customer view; spoof / replay rejected; webhook outage repaired without duplicate emails or stale confirmation</w:t>
            </w:r>
          </w:p>
        </w:tc>
      </w:tr>
      <w:tr>
        <w:trPr>
          <w:cantSplit/>
        </w:trPr>
        <w:tc>
          <w:tcPr>
            <w:tcW w:type="dxa" w:w="208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P0 Cancel and reschedule</w:t>
            </w:r>
          </w:p>
        </w:tc>
        <w:tc>
          <w:tcPr>
            <w:tcW w:type="dxa" w:w="3672"/>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Capability-aware rules; show penalties before committing; prefer atomic reschedule; explicit staged saga if cancel+rebook is necessary</w:t>
            </w:r>
          </w:p>
        </w:tc>
        <w:tc>
          <w:tcPr>
            <w:tcW w:type="dxa" w:w="437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Lost-new-slot and old-cancel-failed cases preserve accurate status; never claim refund from cancellation response; user notified of residual obligation</w:t>
            </w:r>
          </w:p>
        </w:tc>
      </w:tr>
      <w:tr>
        <w:trPr>
          <w:cantSplit/>
        </w:trPr>
        <w:tc>
          <w:tcPr>
            <w:tcW w:type="dxa" w:w="208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P0 Exception operations</w:t>
            </w:r>
          </w:p>
        </w:tc>
        <w:tc>
          <w:tcPr>
            <w:tcW w:type="dxa" w:w="3672"/>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Human escalation queue, owner and promised callback, emergency exclusions, bounded retries, vendor outage / credential-expiry kill switches</w:t>
            </w:r>
          </w:p>
        </w:tc>
        <w:tc>
          <w:tcPr>
            <w:tcW w:type="dxa" w:w="437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Unknown booking is reconciled before retry. No capacity oversell during outage; customer can reach accountable support</w:t>
            </w:r>
          </w:p>
        </w:tc>
      </w:tr>
      <w:tr>
        <w:trPr>
          <w:cantSplit/>
        </w:trPr>
        <w:tc>
          <w:tcPr>
            <w:tcW w:type="dxa" w:w="208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P1 Reconciliation and health</w:t>
            </w:r>
          </w:p>
        </w:tc>
        <w:tc>
          <w:tcPr>
            <w:tcW w:type="dxa" w:w="3672"/>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Periodic provider-state comparison, webhook lag, last-success timestamp, schema / plan drift, dead-letter queue</w:t>
            </w:r>
          </w:p>
        </w:tc>
        <w:tc>
          <w:tcPr>
            <w:tcW w:type="dxa" w:w="437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Missed external cancellation and schema change detected; merchant with invalid configuration removed from instant-book inventory</w:t>
            </w:r>
          </w:p>
        </w:tc>
      </w:tr>
      <w:tr>
        <w:trPr>
          <w:cantSplit/>
        </w:trPr>
        <w:tc>
          <w:tcPr>
            <w:tcW w:type="dxa" w:w="208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P1 Economics instrumentation</w:t>
            </w:r>
          </w:p>
        </w:tc>
        <w:tc>
          <w:tcPr>
            <w:tcW w:type="dxa" w:w="3672"/>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Every attempt logs accesses / calls, booked outcome, failure class, support minutes, payment / refund costs and attribution without inventing conversion</w:t>
            </w:r>
          </w:p>
        </w:tc>
        <w:tc>
          <w:tcPr>
            <w:tcW w:type="dxa" w:w="437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Direct API benefit compared against equivalent browser / phone task with matched scope; contribution margin calculated from actual invoices and support labor</w:t>
            </w:r>
          </w:p>
        </w:tc>
      </w:tr>
    </w:tbl>
    <w:p>
      <w:pPr>
        <w:spacing w:after="20"/>
      </w:pPr>
    </w:p>
    <w:p>
      <w:pPr>
        <w:pStyle w:val="Heading2"/>
      </w:pPr>
      <w:r>
        <w:t>Booking and payment states</w:t>
      </w:r>
    </w:p>
    <w:p>
      <w:r>
        <w:t>The canonical sequence is Draft, Needs information, Offer ready, Awaiting user authorization, optional Held, and Commit in flight. The result can be Confirmed, Pending provider, Payment required, Waitlisted, Failed or Unknown outcome. Each is a distinct state. A hold means an expiring inventory reservation; an administrative job marked “on hold” is not the same thing.</w:t>
      </w:r>
    </w:p>
    <w:p>
      <w:r>
        <w:t>A timeout after a write is Unknown outcome until the supplier state is reconciled. Retrying immediately can double-book or double-charge. A provider-created but unaccepted record remains Pending provider. Confirmation requires the expected service/time, supplier acceptance and any required payment conditions, plus an authoritative identifier. Cancellation and refunds are separate lifecycles. A cancellation response must not be relabeled as a completed refund.</w:t>
      </w:r>
    </w:p>
    <w:p>
      <w:r>
        <w:t xml:space="preserve">Rescheduling should be atomic where supported. If it requires creating a new booking and cancelling the old one, the adapter needs an explicit recovery sequence for a lost new slot, failed old cancellation, changed price or penalty. The customer must see any remaining obligation rather than a falsely clean status. </w:t>
      </w:r>
      <w:r>
        <w:t>[</w:t>
      </w:r>
      <w:hyperlink r:id="rId87">
        <w:r>
          <w:rPr>
            <w:color w:val="1D4E6C"/>
            <w:u w:val="single"/>
          </w:rPr>
          <w:t>GOOG3</w:t>
        </w:r>
      </w:hyperlink>
      <w:r>
        <w:t xml:space="preserve">, </w:t>
      </w:r>
      <w:hyperlink r:id="rId88">
        <w:r>
          <w:rPr>
            <w:color w:val="1D4E6C"/>
            <w:u w:val="single"/>
          </w:rPr>
          <w:t>GOOG4</w:t>
        </w:r>
      </w:hyperlink>
      <w:r>
        <w:t xml:space="preserve">, </w:t>
      </w:r>
      <w:hyperlink r:id="rId52">
        <w:r>
          <w:rPr>
            <w:color w:val="1D4E6C"/>
            <w:u w:val="single"/>
          </w:rPr>
          <w:t>SQ3</w:t>
        </w:r>
      </w:hyperlink>
      <w:r>
        <w:t xml:space="preserve">, </w:t>
      </w:r>
      <w:hyperlink r:id="rId89">
        <w:r>
          <w:rPr>
            <w:color w:val="1D4E6C"/>
            <w:u w:val="single"/>
          </w:rPr>
          <w:t>SQ4</w:t>
        </w:r>
      </w:hyperlink>
      <w:r>
        <w:t xml:space="preserve">, </w:t>
      </w:r>
      <w:hyperlink r:id="rId79">
        <w:r>
          <w:rPr>
            <w:color w:val="1D4E6C"/>
            <w:u w:val="single"/>
          </w:rPr>
          <w:t>HEALTH2</w:t>
        </w:r>
      </w:hyperlink>
      <w:r>
        <w:t xml:space="preserve">, </w:t>
      </w:r>
      <w:hyperlink r:id="rId77">
        <w:r>
          <w:rPr>
            <w:color w:val="1D4E6C"/>
            <w:u w:val="single"/>
          </w:rPr>
          <w:t>PET5</w:t>
        </w:r>
      </w:hyperlink>
      <w:r>
        <w:t>]</w:t>
      </w:r>
      <w:r/>
    </w:p>
    <w:p>
      <w:pPr>
        <w:pStyle w:val="Heading2"/>
      </w:pPr>
      <w:r>
        <w:t>Normalized records</w:t>
      </w:r>
    </w:p>
    <w:p>
      <w:pPr>
        <w:tabs>
          <w:tab w:pos="360" w:val="left"/>
        </w:tabs>
        <w:ind w:left="360" w:hanging="360"/>
      </w:pPr>
      <w:r>
        <w:t>•</w:t>
        <w:tab/>
      </w:r>
      <w:r>
        <w:t>Provider: merchant/tenant/location IDs, timezone, country/currency, service area, platform/API version, grant, entitlement, terms version, operational owner</w:t>
      </w:r>
    </w:p>
    <w:p>
      <w:pPr>
        <w:tabs>
          <w:tab w:pos="360" w:val="left"/>
        </w:tabs>
        <w:ind w:left="360" w:hanging="360"/>
      </w:pPr>
      <w:r>
        <w:t>•</w:t>
        <w:tab/>
      </w:r>
      <w:r>
        <w:t>Service: merchant-native IDs, category, duration, staff/resource constraints, configurable questions, scope/add-ons, exclusions, price type, cancellation/deposit rule</w:t>
      </w:r>
    </w:p>
    <w:p>
      <w:pPr>
        <w:tabs>
          <w:tab w:pos="360" w:val="left"/>
        </w:tabs>
        <w:ind w:left="360" w:hanging="360"/>
      </w:pPr>
      <w:r>
        <w:t>•</w:t>
        <w:tab/>
      </w:r>
      <w:r>
        <w:t>Offer: immutable ID/version, itemized total or explicit estimate range, taxes/fees, deposit/balance, availability checked_at, expiry, start/end/arrival window, resource identifiers, hold guarantee if any</w:t>
      </w:r>
    </w:p>
    <w:p>
      <w:pPr>
        <w:tabs>
          <w:tab w:pos="360" w:val="left"/>
        </w:tabs>
        <w:ind w:left="360" w:hanging="360"/>
      </w:pPr>
      <w:r>
        <w:t>•</w:t>
        <w:tab/>
      </w:r>
      <w:r>
        <w:t>Principal/consent: consumer identity reference, provider customer reference, agent client identity, authorized action and spend ceiling, policy disclosure version, approval timestamp</w:t>
      </w:r>
    </w:p>
    <w:p>
      <w:pPr>
        <w:tabs>
          <w:tab w:pos="360" w:val="left"/>
        </w:tabs>
        <w:ind w:left="360" w:hanging="360"/>
      </w:pPr>
      <w:r>
        <w:t>•</w:t>
        <w:tab/>
      </w:r>
      <w:r>
        <w:t>Booking: middleware intent + idempotency key, upstream booking/job/appointment IDs, separate supplier/payment/notification states, version, trace ID, created/modified timestamps, verified management links</w:t>
      </w:r>
    </w:p>
    <w:p>
      <w:pPr>
        <w:tabs>
          <w:tab w:pos="360" w:val="left"/>
        </w:tabs>
        <w:ind w:left="360" w:hanging="360"/>
      </w:pPr>
      <w:r>
        <w:t>•</w:t>
        <w:tab/>
      </w:r>
      <w:r>
        <w:t>Evidence: source-of-truth response hash/redacted audit, webhook event ID/signature result, reconciliation checkpoint, and human owner for exceptions</w:t>
      </w:r>
    </w:p>
    <w:p>
      <w:pPr>
        <w:pStyle w:val="Heading2"/>
      </w:pPr>
      <w:r>
        <w:t>Security and regulated segments</w:t>
      </w:r>
    </w:p>
    <w:p>
      <w:r>
        <w:t xml:space="preserve">For an MCP proxy, upstream provider credentials and client-to-middleware tokens must be distinct. The MCP security guidance forbids token passthrough and requires audience validation. It also requires per-client consent, exact redirect matching, CSRF-protected single-use OAuth state and secure consent storage. </w:t>
      </w:r>
      <w:r>
        <w:t>[</w:t>
      </w:r>
      <w:hyperlink r:id="rId111">
        <w:r>
          <w:rPr>
            <w:color w:val="1D4E6C"/>
            <w:u w:val="single"/>
          </w:rPr>
          <w:t>SEC1</w:t>
        </w:r>
      </w:hyperlink>
      <w:r>
        <w:t>]</w:t>
      </w:r>
      <w:r/>
    </w:p>
    <w:p>
      <w:r>
        <w:t>Additional product design recommendations: bind every offer/hold/idempotency key to tenant, authorized consumer and agent client; enforce authorization server-side on every object, not in prompts; encrypt credentials in a vault; prevent arbitrary downstream URL fetching; redact secrets/PII; keep tool outputs as untrusted data; require structured purchase authority before payment/commit; make revocation and access logs reviewable. These are architectural requirements, not claims that an OAuth scope constitutes purchase consent.</w:t>
      </w:r>
    </w:p>
    <w:p>
      <w:r>
        <w:t xml:space="preserve">Health-specific review must establish whether the company acts on behalf of a covered entity/business associate, and which parties receive PHI. HHS explicitly lists provider-portal AI appointment-scheduling vendors as an example of business associates; covered-entity service relationships involving PHI can require BAAs. Do not extrapolate that every consumer-side health app has the same legal role. Get qualified legal/security review before live health data. </w:t>
      </w:r>
      <w:r>
        <w:t>[</w:t>
      </w:r>
      <w:hyperlink r:id="rId112">
        <w:r>
          <w:rPr>
            <w:color w:val="1D4E6C"/>
            <w:u w:val="single"/>
          </w:rPr>
          <w:t>SEC2</w:t>
        </w:r>
      </w:hyperlink>
      <w:r>
        <w:t xml:space="preserve">, </w:t>
      </w:r>
      <w:hyperlink r:id="rId113">
        <w:r>
          <w:rPr>
            <w:color w:val="1D4E6C"/>
            <w:u w:val="single"/>
          </w:rPr>
          <w:t>SEC3</w:t>
        </w:r>
      </w:hyperlink>
      <w:r>
        <w:t>]</w:t>
      </w:r>
      <w:r/>
    </w:p>
    <w:p>
      <w:r>
        <w:t xml:space="preserve">Hosted payment/tokenization reduces exposure but does not by itself eliminate PCI responsibilities. Define merchant/service-provider roles and verify payment-provider compliance and shared responsibilities with the acquirer/compliance program. </w:t>
      </w:r>
      <w:r>
        <w:t>[</w:t>
      </w:r>
      <w:hyperlink r:id="rId114">
        <w:r>
          <w:rPr>
            <w:color w:val="1D4E6C"/>
            <w:u w:val="single"/>
          </w:rPr>
          <w:t>SEC4</w:t>
        </w:r>
      </w:hyperlink>
      <w:r>
        <w:t>]</w:t>
      </w:r>
      <w:r/>
    </w:p>
    <w:p>
      <w:pPr>
        <w:pStyle w:val="Heading1"/>
      </w:pPr>
      <w:r>
        <w:t>Proposed thirty day validation</w:t>
      </w:r>
    </w:p>
    <w:p>
      <w:r>
        <w:t xml:space="preserve">All numbers and thresholds in this section are </w:t>
      </w:r>
      <w:r>
        <w:rPr>
          <w:b/>
        </w:rPr>
        <w:t>proposed decision gates</w:t>
      </w:r>
      <w:r>
        <w:t>, not statistical facts or commitments already made. Thirty days can establish feasibility and early value; it cannot prove long-term retention or annual economics. Recruitment, supplier outreach, account access and live bookings require appropriate authorization and have not been performed in this study.</w:t>
      </w:r>
    </w:p>
    <w:p>
      <w:pPr>
        <w:pStyle w:val="Heading2"/>
      </w:pPr>
      <w:r>
        <w:t>Days 1 to 7 establish access and observable demand</w:t>
      </w:r>
    </w:p>
    <w:p>
      <w:r>
        <w:t>Define the pilot narrowly: existing cleaning customers, one metro, one source booking platform, supplier-approved prices and no new-job assessment. Obtain three willing operators and one permissioned distribution channel; preferably observe a second independent channel for demand comparison. Agree event logging and data minimization. Enumerate actual supported actions before advertising them.</w:t>
      </w:r>
    </w:p>
    <w:p>
      <w:r/>
      <w:r>
        <w:rPr>
          <w:b/>
        </w:rPr>
        <w:t>Access gate:</w:t>
      </w:r>
      <w:r>
        <w:t xml:space="preserve"> by day 7, at least three operator accounts on one platform can expose authoritative service definitions, eligible windows, prices/policies and write/read/cancel or change operations. Production rights and plan requirements are documented. If access is only a lead form or unconstrained calendar insertion, do not count it as an execution rail. Missing partner consent is a stop, not permission to scrape.</w:t>
      </w:r>
    </w:p>
    <w:p>
      <w:r/>
      <w:r>
        <w:rPr>
          <w:b/>
        </w:rPr>
        <w:t>Demand instrumentation:</w:t>
      </w:r>
      <w:r>
        <w:t xml:space="preserve"> collect all qualifying intents in the partner cohort, including failures and manual outcomes. Include request ID, pseudonymous household, category/SKU, new versus existing relationship, intent type, channel, eligibility, permission status, quote/slot state, outcome and reason. Record automatic visits separately. Preserve the actual denominator and count repeated intents from one household separately from unique households.</w:t>
      </w:r>
    </w:p>
    <w:p>
      <w:pPr>
        <w:pStyle w:val="Heading2"/>
      </w:pPr>
      <w:r>
        <w:t>Days 8 to 14 prove structured execution and failure handling</w:t>
      </w:r>
    </w:p>
    <w:p>
      <w:r>
        <w:t>Build only enough to compare the same supported requests through the current workflow and the rail. Use sandbox tests for timeout/retry, duplicate requests, stale windows, partial failures, unsupported extras, late cancellation and operator-side edits. An API method called create does not prove acceptance; retrieve the authoritative resulting state.</w:t>
      </w:r>
    </w:p>
    <w:p>
      <w:r/>
      <w:r>
        <w:rPr>
          <w:b/>
        </w:rPr>
        <w:t>Scope gate:</w:t>
      </w:r>
      <w:r>
        <w:t xml:space="preserve"> at least 80% of genuine candidate exception intents can be expressed with structured fields and validated price/policy without a new descriptive conversation. Report eligible and ineligible volumes separately so narrowing the pilot does not hide most demand.</w:t>
      </w:r>
    </w:p>
    <w:p>
      <w:r/>
      <w:r>
        <w:rPr>
          <w:b/>
        </w:rPr>
        <w:t>Safety gate:</w:t>
      </w:r>
      <w:r>
        <w:t xml:space="preserve"> zero unauthorized commitments, duplicate active bookings or claims of confirmation without a provider identifier. Require every synthetic race/timeout test to reconcile deterministically. Any severe incident pauses write execution for diagnosis. This is a release gate, not a statistical safety guarantee.</w:t>
      </w:r>
    </w:p>
    <w:p>
      <w:pPr>
        <w:pStyle w:val="Heading2"/>
      </w:pPr>
      <w:r>
        <w:t>Days 15 to 25 compare against the real baseline</w:t>
      </w:r>
    </w:p>
    <w:p>
      <w:r>
        <w:t>Run genuine, explicitly authorized requests. Avoid paired duplicate live bookings: randomize eligible real intents to the existing workflow or rail, or use shadow/sandbox replay for the unexecuted arm. Stratify by operator and action; keep provider/time effects visible. Measure user interaction time, end-to-end elapsed time, supplier handling minutes, true confirmed completion, exceptions, price deviations and cancellations separately. Record security/policy stops as such.</w:t>
      </w:r>
    </w:p>
    <w:p>
      <w:r/>
      <w:r>
        <w:rPr>
          <w:b/>
        </w:rPr>
        <w:t>Minimum evidence gate:</w:t>
      </w:r>
      <w:r>
        <w:t xml:space="preserve"> at least 50 qualified, genuine exception intents from at least 20 households across three operators within the observation window, with at least 30 live authorized rail operations and a comparable baseline. These are learning minima, not power calculations. If the cohort cannot generate them, do not declare category demand disproved; declare this distribution path insufficient for the proposed build and avoid full launch.</w:t>
      </w:r>
    </w:p>
    <w:p>
      <w:r/>
      <w:r>
        <w:rPr>
          <w:b/>
        </w:rPr>
        <w:t>Performance gate:</w:t>
      </w:r>
      <w:r>
        <w:t xml:space="preserve"> at least 90% of eligible authorized rail operations reach the correct confirmed or correctly cancelled/changed state without human intervention; median supplier handling time falls by at least 50% and at least three minutes per operation versus the matched baseline. Count an accurate refusal separately from a successful booking. Publish numerators, denominators and uncertainty; do not market the target as an achieved SLA.</w:t>
      </w:r>
    </w:p>
    <w:p>
      <w:r/>
      <w:r>
        <w:rPr>
          <w:b/>
        </w:rPr>
        <w:t>Accuracy gate:</w:t>
      </w:r>
      <w:r>
        <w:t xml:space="preserve"> 100% of completed operations have the expected service, local-time window, amount or approved cap, policy acknowledgement, provider identifier and reconciled final state. Do not count a mere pending request as completed. For an allowed price increase after inspection, log it as outside fixed-price eligibility rather than quietly revise the offer.</w:t>
      </w:r>
    </w:p>
    <w:p>
      <w:pPr>
        <w:pStyle w:val="Heading2"/>
      </w:pPr>
      <w:r>
        <w:t>Days 26 to 30 decide on economics and distribution</w:t>
      </w:r>
    </w:p>
    <w:p>
      <w:r>
        <w:t>Use observed intent rate, staff savings, upstream costs, support and supplier acceptance to model conservative monthly unit economics. Separate repeat use from scheduled service occurrence. Seek paid continuation through an authorized commercial process; a favorable interview alone is not willingness to pay.</w:t>
      </w:r>
    </w:p>
    <w:p>
      <w:r/>
      <w:r>
        <w:rPr>
          <w:b/>
        </w:rPr>
        <w:t>Commercial gate:</w:t>
      </w:r>
      <w:r>
        <w:t xml:space="preserve"> at least two operators or one distribution partner agrees to a bounded paid continuation at a price that gives at least 50% contribution margin after all measured variable costs, while leaving the payer at least two times the fee in measured labor or incremental contribution value. These are proposed hurdle rates and may be revised before the experiment begins, not after looking at results.</w:t>
      </w:r>
    </w:p>
    <w:p>
      <w:r/>
      <w:r>
        <w:rPr>
          <w:b/>
        </w:rPr>
        <w:t>Distribution gate:</w:t>
      </w:r>
      <w:r>
        <w:t xml:space="preserve"> the channel can repeatedly generate the measured qualified intent volume without relying on founder-generated test tasks or a one-off publicity spike. Track cost per qualified household and operation; do not extrapolate from total partner users or total supplier visits. At least two repeat interactions by an exposed eligible household are a useful leading signal but are not 90-day retention.</w:t>
      </w:r>
    </w:p>
    <w:p>
      <w:r/>
      <w:r>
        <w:rPr>
          <w:b/>
        </w:rPr>
        <w:t>Decision:</w:t>
      </w:r>
      <w:r>
        <w:t xml:space="preserve"> go only if access, scope, safety, meaningful time saved, paid continuation and credible distribution all pass. A technical pass with no volume means a working integration, not product-market fit. A commercial pass with heavy manual work means a service operation whose staffing economics must be acknowledged. If results are insufficient, extend a specifically justified evidence collection period or stop; do not manufacture certainty from three website observations.</w:t>
      </w:r>
    </w:p>
    <w:p>
      <w:pPr>
        <w:pStyle w:val="Heading1"/>
      </w:pPr>
      <w:r>
        <w:t>Measurement definitions and remaining uncertainty</w:t>
      </w:r>
    </w:p>
    <w:p>
      <w:r>
        <w:t>The next study should assign a stable request ID before an agent chooses a channel. Record the authorized user objective, category, service and scope fields, metro, anonymized requester ID, provider, permission envelope, timestamps, available channels, attempted channels, choke points in order, provider response, terminal state and authoritative confirmation. Link retries to the same request rather than inflating demand.</w:t>
      </w:r>
    </w:p>
    <w:p>
      <w:r>
        <w:t>Completion without a phone call is confirmed eligible requests completed with no phone interaction divided by all eligible requests with a known terminal outcome. Phone-required share needs evidence that a phone call was necessary, rather than merely chosen or offered. Phone-used share is a separate measure. Abandonment due to friction requires explicit reason evidence. Report unknown outcomes and unresolved requests separately so missingness does not improve success rates.</w:t>
      </w:r>
    </w:p>
    <w:p>
      <w:r>
        <w:t>Time to confirmed booking begins when the authorized request is complete enough to act and ends at provider confirmation. Report both total elapsed time and active operator or agent work. Quote-wait time and customer-approval time remain visible. Censored requests must be counted and described rather than silently excluded from medians. Comparisons should hold the requested service, scope, provider cohort and stopping boundary constant.</w:t>
      </w:r>
    </w:p>
    <w:p>
      <w:r>
        <w:t>For a pilot, count duplicate reservations, incorrect prices, wrong times, unapproved charges, lost cancellations and unauthorized data disclosures separately from recoverable errors. Every severe incident should trigger investigation. A small zero-error sample does not establish a low production failure rate. For example, under independent identical Bernoulli trials, zero observed failures in three full tests still leaves a one-sided 95% upper failure bound of approximately 63.2%. At least 299 independent zero-failure tests would be needed to put that bound below 1%. These calculations are illustrations only. The public inspections in this study are neither independent full transactions nor a reliability validation set.</w:t>
      </w:r>
    </w:p>
    <w:p>
      <w:pPr>
        <w:pStyle w:val="Heading2"/>
      </w:pPr>
      <w:r>
        <w:t>Questions that still determine the decision</w:t>
      </w:r>
    </w:p>
    <w:p>
      <w:r>
        <w:t>The most important unknowns are who will supply qualified agent intent, which operators will authorize access, whether their eligible exceptions occur often enough, and whether someone pays for the measured improvement. Also unresolved are commercial API terms, real connected-location coverage, exact service/price fields, postcommit reliability, dispute ownership, onboarding cost and continuing support burden.</w:t>
      </w:r>
    </w:p>
    <w:p>
      <w:r>
        <w:t>The current evidence cannot estimate platform-wide category demand, phone prevalence, abandonment, willingness to pay, acquisition cost, support cost, average order value or a defensible market size. It does support a more precise next experiment: one authorized relationship, a narrowly defined service and a fully reconciled lifecycle, compared with the actual incumbent workflow. A technically successful integration with no qualified volume is not a validated business. If access or genuine distribution is absent, stop the build rather than silently broadening the product to scraping, lead generation or a staffed concierge operation.</w:t>
      </w:r>
    </w:p>
    <w:p>
      <w:pPr>
        <w:pStyle w:val="Heading1"/>
      </w:pPr>
      <w:r>
        <w:t>Technical glossary</w:t>
      </w:r>
    </w:p>
    <w:tbl>
      <w:tblPr>
        <w:tblW w:type="auto" w:w="0"/>
        <w:jc w:val="center"/>
        <w:tblLayout w:type="fixed"/>
        <w:tblLook w:firstColumn="1" w:firstRow="1" w:lastColumn="0" w:lastRow="0" w:noHBand="0" w:noVBand="1" w:val="04A0"/>
      </w:tblPr>
      <w:tblGrid>
        <w:gridCol w:w="2419"/>
        <w:gridCol w:w="7718"/>
      </w:tblGrid>
      <w:tr>
        <w:trPr>
          <w:tblHeader w:val="true"/>
          <w:cantSplit/>
        </w:trPr>
        <w:tc>
          <w:tcPr>
            <w:tcW w:type="dxa" w:w="2419"/>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21384A"/>
          </w:tcPr>
          <w:p>
            <w:pPr>
              <w:spacing w:after="0" w:line="250" w:lineRule="auto"/>
            </w:pPr>
            <w:r>
              <w:rPr>
                <w:b/>
                <w:color w:val="FFFFFF"/>
                <w:sz w:val="18"/>
              </w:rPr>
              <w:t>Term</w:t>
            </w:r>
          </w:p>
        </w:tc>
        <w:tc>
          <w:tcPr>
            <w:tcW w:type="dxa" w:w="771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21384A"/>
          </w:tcPr>
          <w:p>
            <w:pPr>
              <w:spacing w:after="0" w:line="250" w:lineRule="auto"/>
            </w:pPr>
            <w:r>
              <w:rPr>
                <w:b/>
                <w:color w:val="FFFFFF"/>
                <w:sz w:val="18"/>
              </w:rPr>
              <w:t>Meaning in this report</w:t>
            </w:r>
          </w:p>
        </w:tc>
      </w:tr>
      <w:tr>
        <w:trPr>
          <w:cantSplit/>
        </w:trPr>
        <w:tc>
          <w:tcPr>
            <w:tcW w:type="dxa" w:w="2419"/>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API</w:t>
            </w:r>
          </w:p>
        </w:tc>
        <w:tc>
          <w:tcPr>
            <w:tcW w:type="dxa" w:w="771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Application programming interface; structured software operations for reading or changing another system</w:t>
            </w:r>
          </w:p>
        </w:tc>
      </w:tr>
      <w:tr>
        <w:trPr>
          <w:cantSplit/>
        </w:trPr>
        <w:tc>
          <w:tcPr>
            <w:tcW w:type="dxa" w:w="2419"/>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MCP</w:t>
            </w:r>
          </w:p>
        </w:tc>
        <w:tc>
          <w:tcPr>
            <w:tcW w:type="dxa" w:w="771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Model Context Protocol; a standard way to expose tools to an AI agent, not a grant of booking rights</w:t>
            </w:r>
          </w:p>
        </w:tc>
      </w:tr>
      <w:tr>
        <w:trPr>
          <w:cantSplit/>
        </w:trPr>
        <w:tc>
          <w:tcPr>
            <w:tcW w:type="dxa" w:w="2419"/>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Field service software</w:t>
            </w:r>
          </w:p>
        </w:tc>
        <w:tc>
          <w:tcPr>
            <w:tcW w:type="dxa" w:w="771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A provider's system for customers, quotes, jobs, technician schedules, dispatch and payments</w:t>
            </w:r>
          </w:p>
        </w:tc>
      </w:tr>
      <w:tr>
        <w:trPr>
          <w:cantSplit/>
        </w:trPr>
        <w:tc>
          <w:tcPr>
            <w:tcW w:type="dxa" w:w="2419"/>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OAuth</w:t>
            </w:r>
          </w:p>
        </w:tc>
        <w:tc>
          <w:tcPr>
            <w:tcW w:type="dxa" w:w="771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A mechanism for an account owner to grant scoped application access; it is distinct from approving a customer's purchase</w:t>
            </w:r>
          </w:p>
        </w:tc>
      </w:tr>
      <w:tr>
        <w:trPr>
          <w:cantSplit/>
        </w:trPr>
        <w:tc>
          <w:tcPr>
            <w:tcW w:type="dxa" w:w="2419"/>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Webhook</w:t>
            </w:r>
          </w:p>
        </w:tc>
        <w:tc>
          <w:tcPr>
            <w:tcW w:type="dxa" w:w="771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A supplier-initiated event notification that must be authenticated and reconciled with current state</w:t>
            </w:r>
          </w:p>
        </w:tc>
      </w:tr>
      <w:tr>
        <w:trPr>
          <w:cantSplit/>
        </w:trPr>
        <w:tc>
          <w:tcPr>
            <w:tcW w:type="dxa" w:w="2419"/>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Idempotency</w:t>
            </w:r>
          </w:p>
        </w:tc>
        <w:tc>
          <w:tcPr>
            <w:tcW w:type="dxa" w:w="771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Retrying the same request without creating an additional booking or charge</w:t>
            </w:r>
          </w:p>
        </w:tc>
      </w:tr>
      <w:tr>
        <w:trPr>
          <w:cantSplit/>
        </w:trPr>
        <w:tc>
          <w:tcPr>
            <w:tcW w:type="dxa" w:w="2419"/>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Tenant</w:t>
            </w:r>
          </w:p>
        </w:tc>
        <w:tc>
          <w:tcPr>
            <w:tcW w:type="dxa" w:w="771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One business or account's isolated records and permissions within a shared software platform</w:t>
            </w:r>
          </w:p>
        </w:tc>
      </w:tr>
      <w:tr>
        <w:trPr>
          <w:cantSplit/>
        </w:trPr>
        <w:tc>
          <w:tcPr>
            <w:tcW w:type="dxa" w:w="2419"/>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Asynchronous confirmation</w:t>
            </w:r>
          </w:p>
        </w:tc>
        <w:tc>
          <w:tcPr>
            <w:tcW w:type="dxa" w:w="771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An initial accepted request whose final success or failure arrives later and must be checked</w:t>
            </w:r>
          </w:p>
        </w:tc>
      </w:tr>
      <w:tr>
        <w:trPr>
          <w:cantSplit/>
        </w:trPr>
        <w:tc>
          <w:tcPr>
            <w:tcW w:type="dxa" w:w="2419"/>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Atomic operation</w:t>
            </w:r>
          </w:p>
        </w:tc>
        <w:tc>
          <w:tcPr>
            <w:tcW w:type="dxa" w:w="771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Related changes succeed together or fail together, avoiding a partial booking or reschedule</w:t>
            </w:r>
          </w:p>
        </w:tc>
      </w:tr>
      <w:tr>
        <w:trPr>
          <w:cantSplit/>
        </w:trPr>
        <w:tc>
          <w:tcPr>
            <w:tcW w:type="dxa" w:w="2419"/>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Recovery sequence or saga</w:t>
            </w:r>
          </w:p>
        </w:tc>
        <w:tc>
          <w:tcPr>
            <w:tcW w:type="dxa" w:w="771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A multi-step operation with explicit compensating actions when a later step fails</w:t>
            </w:r>
          </w:p>
        </w:tc>
      </w:tr>
      <w:tr>
        <w:trPr>
          <w:cantSplit/>
        </w:trPr>
        <w:tc>
          <w:tcPr>
            <w:tcW w:type="dxa" w:w="2419"/>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SKU</w:t>
            </w:r>
          </w:p>
        </w:tc>
        <w:tc>
          <w:tcPr>
            <w:tcW w:type="dxa" w:w="771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A specific service or product definition with its own scope and rules</w:t>
            </w:r>
          </w:p>
        </w:tc>
      </w:tr>
      <w:tr>
        <w:trPr>
          <w:cantSplit/>
        </w:trPr>
        <w:tc>
          <w:tcPr>
            <w:tcW w:type="dxa" w:w="2419"/>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GMV</w:t>
            </w:r>
          </w:p>
        </w:tc>
        <w:tc>
          <w:tcPr>
            <w:tcW w:type="dxa" w:w="771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Gross merchandise value, the total service spending processed rather than the rail's revenue</w:t>
            </w:r>
          </w:p>
        </w:tc>
      </w:tr>
      <w:tr>
        <w:trPr>
          <w:cantSplit/>
        </w:trPr>
        <w:tc>
          <w:tcPr>
            <w:tcW w:type="dxa" w:w="2419"/>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SLA</w:t>
            </w:r>
          </w:p>
        </w:tc>
        <w:tc>
          <w:tcPr>
            <w:tcW w:type="dxa" w:w="771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Service-level agreement; a contractual performance commitment, not a pilot target</w:t>
            </w:r>
          </w:p>
        </w:tc>
      </w:tr>
      <w:tr>
        <w:trPr>
          <w:cantSplit/>
        </w:trPr>
        <w:tc>
          <w:tcPr>
            <w:tcW w:type="dxa" w:w="2419"/>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EHR</w:t>
            </w:r>
          </w:p>
        </w:tc>
        <w:tc>
          <w:tcPr>
            <w:tcW w:type="dxa" w:w="771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Electronic health record, the practice's clinical record system</w:t>
            </w:r>
          </w:p>
        </w:tc>
      </w:tr>
      <w:tr>
        <w:trPr>
          <w:cantSplit/>
        </w:trPr>
        <w:tc>
          <w:tcPr>
            <w:tcW w:type="dxa" w:w="2419"/>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PHI and BAA</w:t>
            </w:r>
          </w:p>
        </w:tc>
        <w:tc>
          <w:tcPr>
            <w:tcW w:type="dxa" w:w="771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Protected health information and a business associate agreement governing qualifying service relationships</w:t>
            </w:r>
          </w:p>
        </w:tc>
      </w:tr>
      <w:tr>
        <w:trPr>
          <w:cantSplit/>
        </w:trPr>
        <w:tc>
          <w:tcPr>
            <w:tcW w:type="dxa" w:w="2419"/>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PCI and SCA</w:t>
            </w:r>
          </w:p>
        </w:tc>
        <w:tc>
          <w:tcPr>
            <w:tcW w:type="dxa" w:w="771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Payment Card Industry security requirements and strong customer authentication for payments</w:t>
            </w:r>
          </w:p>
        </w:tc>
      </w:tr>
      <w:tr>
        <w:trPr>
          <w:cantSplit/>
        </w:trPr>
        <w:tc>
          <w:tcPr>
            <w:tcW w:type="dxa" w:w="2419"/>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DOM</w:t>
            </w:r>
          </w:p>
        </w:tc>
        <w:tc>
          <w:tcPr>
            <w:tcW w:type="dxa" w:w="771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The browser's structured page representation; a source for the recorded interface observations</w:t>
            </w:r>
          </w:p>
        </w:tc>
      </w:tr>
      <w:tr>
        <w:trPr>
          <w:cantSplit/>
        </w:trPr>
        <w:tc>
          <w:tcPr>
            <w:tcW w:type="dxa" w:w="2419"/>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DST</w:t>
            </w:r>
          </w:p>
        </w:tc>
        <w:tc>
          <w:tcPr>
            <w:tcW w:type="dxa" w:w="771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Daylight saving time, which changes local clock offsets and can create ambiguous or missing times</w:t>
            </w:r>
          </w:p>
        </w:tc>
      </w:tr>
      <w:tr>
        <w:trPr>
          <w:cantSplit/>
        </w:trPr>
        <w:tc>
          <w:tcPr>
            <w:tcW w:type="dxa" w:w="2419"/>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Contribution margin</w:t>
            </w:r>
          </w:p>
        </w:tc>
        <w:tc>
          <w:tcPr>
            <w:tcW w:type="dxa" w:w="771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Revenue less variable costs; it excludes fixed costs unless expressly included</w:t>
            </w:r>
          </w:p>
        </w:tc>
      </w:tr>
      <w:tr>
        <w:trPr>
          <w:cantSplit/>
        </w:trPr>
        <w:tc>
          <w:tcPr>
            <w:tcW w:type="dxa" w:w="2419"/>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Authoritative state</w:t>
            </w:r>
          </w:p>
        </w:tc>
        <w:tc>
          <w:tcPr>
            <w:tcW w:type="dxa" w:w="771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shd w:fill="F3F6F8"/>
          </w:tcPr>
          <w:p>
            <w:pPr>
              <w:spacing w:after="0" w:line="250" w:lineRule="auto"/>
            </w:pPr>
            <w:r>
              <w:rPr>
                <w:sz w:val="18"/>
              </w:rPr>
              <w:t>The supplier's actual current booking record, rather than an agent's cached message or local calendar copy</w:t>
            </w:r>
          </w:p>
        </w:tc>
      </w:tr>
      <w:tr>
        <w:trPr>
          <w:cantSplit/>
        </w:trPr>
        <w:tc>
          <w:tcPr>
            <w:tcW w:type="dxa" w:w="2419"/>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Right censoring</w:t>
            </w:r>
          </w:p>
        </w:tc>
        <w:tc>
          <w:tcPr>
            <w:tcW w:type="dxa" w:w="7718"/>
            <w:vAlign w:val="center"/>
            <w:tcMar>
              <w:top w:w="90" w:type="dxa"/>
              <w:left w:w="100" w:type="dxa"/>
              <w:bottom w:w="90" w:type="dxa"/>
              <w:right w:w="100" w:type="dxa"/>
            </w:tcMar>
            <w:tcBorders>
              <w:top w:val="single" w:sz="4" w:color="D9D9D9"/>
              <w:left w:val="single" w:sz="4" w:color="D9D9D9"/>
              <w:bottom w:val="single" w:sz="4" w:color="D9D9D9"/>
              <w:right w:val="single" w:sz="4" w:color="D9D9D9"/>
            </w:tcBorders>
          </w:tcPr>
          <w:p>
            <w:pPr>
              <w:spacing w:after="0" w:line="250" w:lineRule="auto"/>
            </w:pPr>
            <w:r>
              <w:rPr>
                <w:sz w:val="18"/>
              </w:rPr>
              <w:t>Observation ends before the true final outcome is known; a precommit stop cannot be counted as completion or abandonment</w:t>
            </w:r>
          </w:p>
        </w:tc>
      </w:tr>
    </w:tbl>
    <w:p>
      <w:pPr>
        <w:spacing w:after="20"/>
      </w:pPr>
    </w:p>
    <w:p>
      <w:r>
        <w:br w:type="page"/>
      </w:r>
    </w:p>
    <w:p>
      <w:pPr>
        <w:pStyle w:val="Heading1"/>
      </w:pPr>
      <w:r>
        <w:t>Source register</w:t>
      </w:r>
    </w:p>
    <w:p>
      <w:r>
        <w:t>All sources were accessed on 4 October 2026. Publication or update dates are retained where reliably exposed. Source links can change; vendor documentation and commercial terms must be reconfirmed before implementation. Provider marketing claims, menu examples, public endpoint documentation and direct interface observations support different kinds of claims. No source in this register by itself establishes actual market demand or production access for the proposed company.</w:t>
      </w:r>
    </w:p>
    <w:p>
      <w:pPr>
        <w:pStyle w:val="Heading2"/>
      </w:pPr>
      <w:r>
        <w:t>Research brief and historical evidence</w:t>
      </w:r>
    </w:p>
    <w:p>
      <w:r>
        <w:t>The commissioned brief is “Prompts to extract agent booking data and validate the wedge with live runs,” supplied on 4 October 2026. Historical findings derive from the bounded accessible conversation audit described in this report, with 103 retrieved and 102 analyzed records. The workbook preserves anonymized episode summaries and count provenance. Private messages and excluded identity text are not reproduced.</w:t>
      </w:r>
    </w:p>
    <w:p>
      <w:r>
        <w:t xml:space="preserve">HCP1 — </w:t>
      </w:r>
      <w:hyperlink r:id="rId40">
        <w:r>
          <w:rPr>
            <w:color w:val="1D4E6C"/>
            <w:u w:val="single"/>
          </w:rPr>
          <w:t>Housecall Pro developer overview, undated; current browser rendered text says MAX/XL, describes partner contract and separate Partner Jobs program</w:t>
        </w:r>
      </w:hyperlink>
      <w:r>
        <w:t>. Accessed 2026-10-04. Access mode: Rendered public page.</w:t>
      </w:r>
    </w:p>
    <w:p>
      <w:r>
        <w:t xml:space="preserve">HCP2 — </w:t>
      </w:r>
      <w:hyperlink r:id="rId41">
        <w:r>
          <w:rPr>
            <w:color w:val="1D4E6C"/>
            <w:u w:val="single"/>
          </w:rPr>
          <w:t>API Overview, dated 2026-07-08, says MAX</w:t>
        </w:r>
      </w:hyperlink>
      <w:r>
        <w:t>. Accessed 2026-10-04. Access mode: Primary search extract only.</w:t>
      </w:r>
    </w:p>
    <w:p>
      <w:r>
        <w:t xml:space="preserve">HCP3 — </w:t>
      </w:r>
      <w:hyperlink r:id="rId42">
        <w:r>
          <w:rPr>
            <w:color w:val="1D4E6C"/>
            <w:u w:val="single"/>
          </w:rPr>
          <w:t>Authentication, undated, browser</w:t>
        </w:r>
      </w:hyperlink>
      <w:r>
        <w:t>. Accessed 2026-10-04. Access mode: Rendered public page.</w:t>
      </w:r>
    </w:p>
    <w:p>
      <w:r>
        <w:t xml:space="preserve">HCP4 — </w:t>
      </w:r>
      <w:hyperlink r:id="rId10">
        <w:r>
          <w:rPr>
            <w:color w:val="1D4E6C"/>
            <w:u w:val="single"/>
          </w:rPr>
          <w:t>Booking Windows, undated, browser</w:t>
        </w:r>
      </w:hyperlink>
      <w:r>
        <w:t>. Accessed 2026-10-04. Access mode: Rendered public page.</w:t>
      </w:r>
    </w:p>
    <w:p>
      <w:r>
        <w:t xml:space="preserve">HCP5 — </w:t>
      </w:r>
      <w:hyperlink r:id="rId11">
        <w:r>
          <w:rPr>
            <w:color w:val="1D4E6C"/>
            <w:u w:val="single"/>
          </w:rPr>
          <w:t>Create a Job, undated, browser</w:t>
        </w:r>
      </w:hyperlink>
      <w:r>
        <w:t>. Accessed 2026-10-04. Access mode: Rendered public page.</w:t>
      </w:r>
    </w:p>
    <w:p>
      <w:r>
        <w:t xml:space="preserve">HCP6 — </w:t>
      </w:r>
      <w:hyperlink r:id="rId90">
        <w:r>
          <w:rPr>
            <w:color w:val="1D4E6C"/>
            <w:u w:val="single"/>
          </w:rPr>
          <w:t>How to Enable Webhooks, dated 2026-07-16; lifecycle endpoint navigation observed under HCP5</w:t>
        </w:r>
      </w:hyperlink>
      <w:r>
        <w:t>. Accessed 2026-10-04. Access mode: Primary search extract only.</w:t>
      </w:r>
    </w:p>
    <w:p>
      <w:r>
        <w:t xml:space="preserve">JOB1 — </w:t>
      </w:r>
      <w:hyperlink r:id="rId43">
        <w:r>
          <w:rPr>
            <w:color w:val="1D4E6C"/>
            <w:u w:val="single"/>
          </w:rPr>
          <w:t>Developer overview/current schema introduction, undated</w:t>
        </w:r>
      </w:hyperlink>
      <w:r>
        <w:t>. Accessed 2026-10-04. Access mode: Full-page text extraction.</w:t>
      </w:r>
    </w:p>
    <w:p>
      <w:r>
        <w:t xml:space="preserve">JOB2 — </w:t>
      </w:r>
      <w:hyperlink r:id="rId44">
        <w:r>
          <w:rPr>
            <w:color w:val="1D4E6C"/>
            <w:u w:val="single"/>
          </w:rPr>
          <w:t>Getting Started/OAuth, undated</w:t>
        </w:r>
      </w:hyperlink>
      <w:r>
        <w:t>. Accessed 2026-10-04. Access mode: Primary search extract only.</w:t>
      </w:r>
    </w:p>
    <w:p>
      <w:r>
        <w:t xml:space="preserve">JOB3 — </w:t>
      </w:r>
      <w:hyperlink r:id="rId115">
        <w:r>
          <w:rPr>
            <w:color w:val="1D4E6C"/>
            <w:u w:val="single"/>
          </w:rPr>
          <w:t>Developer Center, updated 2024-09-11, schema access instructions</w:t>
        </w:r>
      </w:hyperlink>
      <w:r>
        <w:t>. Accessed 2026-10-04. Access mode: Primary search extract only.</w:t>
      </w:r>
    </w:p>
    <w:p>
      <w:r>
        <w:t xml:space="preserve">JOB4 — </w:t>
      </w:r>
      <w:hyperlink r:id="rId19">
        <w:r>
          <w:rPr>
            <w:color w:val="1D4E6C"/>
            <w:u w:val="single"/>
          </w:rPr>
          <w:t>Online Booking, updated 2026-07-08</w:t>
        </w:r>
      </w:hyperlink>
      <w:r>
        <w:t>. Accessed 2026-10-04. Access mode: Primary search extract only.</w:t>
      </w:r>
    </w:p>
    <w:p>
      <w:r>
        <w:t xml:space="preserve">JOB5 — </w:t>
      </w:r>
      <w:hyperlink r:id="rId45">
        <w:r>
          <w:rPr>
            <w:color w:val="1D4E6C"/>
            <w:u w:val="single"/>
          </w:rPr>
          <w:t>Connect Jobber to Claude and ChatGPT, updated 2026-10-01</w:t>
        </w:r>
      </w:hyperlink>
      <w:r>
        <w:t>. Accessed 2026-10-04. Access mode: Full-page text extraction.</w:t>
      </w:r>
    </w:p>
    <w:p>
      <w:r>
        <w:t xml:space="preserve">JOB6 — </w:t>
      </w:r>
      <w:hyperlink r:id="rId46">
        <w:r>
          <w:rPr>
            <w:color w:val="1D4E6C"/>
            <w:u w:val="single"/>
          </w:rPr>
          <w:t>Receptionist powered by Jobber AI</w:t>
        </w:r>
      </w:hyperlink>
      <w:r>
        <w:t>. Accessed 2026-10-04. Access mode: Full-page text extraction.</w:t>
      </w:r>
    </w:p>
    <w:p>
      <w:r>
        <w:t xml:space="preserve">ST1 — </w:t>
      </w:r>
      <w:hyperlink r:id="rId47">
        <w:r>
          <w:rPr>
            <w:color w:val="1D4E6C"/>
            <w:u w:val="single"/>
          </w:rPr>
          <w:t>Developer FAQ, undated/current</w:t>
        </w:r>
      </w:hyperlink>
      <w:r>
        <w:t>. Accessed 2026-10-04. Access mode: Primary search extract only.</w:t>
      </w:r>
    </w:p>
    <w:p>
      <w:r>
        <w:t xml:space="preserve">ST2 — </w:t>
      </w:r>
      <w:hyperlink r:id="rId116">
        <w:r>
          <w:rPr>
            <w:color w:val="1D4E6C"/>
            <w:u w:val="single"/>
          </w:rPr>
          <w:t>First API Call</w:t>
        </w:r>
      </w:hyperlink>
      <w:r>
        <w:t>. Accessed 2026-10-04. Access mode: Primary search extract only.</w:t>
      </w:r>
    </w:p>
    <w:p>
      <w:r>
        <w:t xml:space="preserve">ST3 — </w:t>
      </w:r>
      <w:hyperlink r:id="rId48">
        <w:r>
          <w:rPr>
            <w:color w:val="1D4E6C"/>
            <w:u w:val="single"/>
          </w:rPr>
          <w:t>Bookings_Create, browser</w:t>
        </w:r>
      </w:hyperlink>
      <w:r>
        <w:t>. Accessed 2026-10-04. Access mode: Rendered public page.</w:t>
      </w:r>
    </w:p>
    <w:p>
      <w:r>
        <w:t xml:space="preserve">ST4 — </w:t>
      </w:r>
      <w:hyperlink r:id="rId49">
        <w:r>
          <w:rPr>
            <w:color w:val="1D4E6C"/>
            <w:u w:val="single"/>
          </w:rPr>
          <w:t>Jobs_Create and lifecycle sidebar, browser</w:t>
        </w:r>
      </w:hyperlink>
      <w:r>
        <w:t>. Accessed 2026-10-04. Access mode: Rendered public page.</w:t>
      </w:r>
    </w:p>
    <w:p>
      <w:r>
        <w:t xml:space="preserve">ST5 — </w:t>
      </w:r>
      <w:hyperlink r:id="rId50">
        <w:r>
          <w:rPr>
            <w:color w:val="1D4E6C"/>
            <w:u w:val="single"/>
          </w:rPr>
          <w:t>Book Jobs &amp; Schedule Appointments, updated 2026-07-11</w:t>
        </w:r>
      </w:hyperlink>
      <w:r>
        <w:t>. Accessed 2026-10-04. Access mode: Primary search extract only.</w:t>
      </w:r>
    </w:p>
    <w:p>
      <w:r>
        <w:t xml:space="preserve">ST6 — </w:t>
      </w:r>
      <w:hyperlink r:id="rId51">
        <w:r>
          <w:rPr>
            <w:color w:val="1D4E6C"/>
            <w:u w:val="single"/>
          </w:rPr>
          <w:t>Capacity configuration in ServiceTitan Max, updated 2026-07-11</w:t>
        </w:r>
      </w:hyperlink>
      <w:r>
        <w:t>. Accessed 2026-10-04. Access mode: Primary search extract only.</w:t>
      </w:r>
    </w:p>
    <w:p>
      <w:r>
        <w:t xml:space="preserve">ST7 — </w:t>
      </w:r>
      <w:hyperlink r:id="rId117">
        <w:r>
          <w:rPr>
            <w:color w:val="1D4E6C"/>
            <w:u w:val="single"/>
          </w:rPr>
          <w:t>Appointments_Get</w:t>
        </w:r>
      </w:hyperlink>
      <w:r>
        <w:t>. Accessed 2026-10-04. Access mode: Primary search extract only.</w:t>
      </w:r>
    </w:p>
    <w:p>
      <w:r>
        <w:t xml:space="preserve">SQ1 — </w:t>
      </w:r>
      <w:hyperlink r:id="rId12">
        <w:r>
          <w:rPr>
            <w:color w:val="1D4E6C"/>
            <w:u w:val="single"/>
          </w:rPr>
          <w:t>Bookings API</w:t>
        </w:r>
      </w:hyperlink>
      <w:r>
        <w:t>. Accessed 2026-10-04. Access mode: Full-page text extraction.</w:t>
      </w:r>
    </w:p>
    <w:p>
      <w:r>
        <w:t xml:space="preserve">SQ2 — </w:t>
      </w:r>
      <w:hyperlink r:id="rId22">
        <w:r>
          <w:rPr>
            <w:color w:val="1D4E6C"/>
            <w:u w:val="single"/>
          </w:rPr>
          <w:t>Bookings API Concepts</w:t>
        </w:r>
      </w:hyperlink>
      <w:r>
        <w:t>. Accessed 2026-10-04. Access mode: Primary search extract only.</w:t>
      </w:r>
    </w:p>
    <w:p>
      <w:r>
        <w:t xml:space="preserve">SQ3 — </w:t>
      </w:r>
      <w:hyperlink r:id="rId52">
        <w:r>
          <w:rPr>
            <w:color w:val="1D4E6C"/>
            <w:u w:val="single"/>
          </w:rPr>
          <w:t>CreateBooking, reference showed API version 2026-09-16</w:t>
        </w:r>
      </w:hyperlink>
      <w:r>
        <w:t>. Accessed 2026-10-04. Access mode: Primary search extract only.</w:t>
      </w:r>
    </w:p>
    <w:p>
      <w:r>
        <w:t xml:space="preserve">SQ4 — </w:t>
      </w:r>
      <w:hyperlink r:id="rId89">
        <w:r>
          <w:rPr>
            <w:color w:val="1D4E6C"/>
            <w:u w:val="single"/>
          </w:rPr>
          <w:t>Create and Manage Bookings</w:t>
        </w:r>
      </w:hyperlink>
      <w:r>
        <w:t>. Accessed 2026-10-04. Access mode: Full-page text extraction.</w:t>
      </w:r>
    </w:p>
    <w:p>
      <w:r>
        <w:t xml:space="preserve">SQ5 — </w:t>
      </w:r>
      <w:hyperlink r:id="rId53">
        <w:r>
          <w:rPr>
            <w:color w:val="1D4E6C"/>
            <w:u w:val="single"/>
          </w:rPr>
          <w:t>Handle Bookings Webhooks</w:t>
        </w:r>
      </w:hyperlink>
      <w:r>
        <w:t>. Accessed 2026-10-04. Access mode: Full-page text extraction.</w:t>
      </w:r>
    </w:p>
    <w:p>
      <w:r>
        <w:t xml:space="preserve">SQ6 — </w:t>
      </w:r>
      <w:hyperlink r:id="rId118">
        <w:r>
          <w:rPr>
            <w:color w:val="1D4E6C"/>
            <w:u w:val="single"/>
          </w:rPr>
          <w:t>CancelBooking, 2026-09-16</w:t>
        </w:r>
      </w:hyperlink>
      <w:r>
        <w:t>. Accessed 2026-10-04. Access mode: Primary search extract only.</w:t>
      </w:r>
    </w:p>
    <w:p>
      <w:r>
        <w:t xml:space="preserve">MB1 — </w:t>
      </w:r>
      <w:hyperlink r:id="rId54">
        <w:r>
          <w:rPr>
            <w:color w:val="1D4E6C"/>
            <w:u w:val="single"/>
          </w:rPr>
          <w:t>Mindbody developer portal current API pricing, corroborated in live browser DOM on 2026-10-04; contractual applicability unverified</w:t>
        </w:r>
      </w:hyperlink>
      <w:r>
        <w:t>. Accessed 2026-10-04. Access mode: Rendered public page.</w:t>
      </w:r>
    </w:p>
    <w:p>
      <w:r>
        <w:t xml:space="preserve">MB2 — </w:t>
      </w:r>
      <w:hyperlink r:id="rId55">
        <w:r>
          <w:rPr>
            <w:color w:val="1D4E6C"/>
            <w:u w:val="single"/>
          </w:rPr>
          <w:t>Activation FAQ</w:t>
        </w:r>
      </w:hyperlink>
      <w:r>
        <w:t>. Accessed 2026-10-04. Access mode: Primary search extract only.</w:t>
      </w:r>
    </w:p>
    <w:p>
      <w:r>
        <w:t xml:space="preserve">MB3 — </w:t>
      </w:r>
      <w:hyperlink r:id="rId56">
        <w:r>
          <w:rPr>
            <w:color w:val="1D4E6C"/>
            <w:u w:val="single"/>
          </w:rPr>
          <w:t>Webhooks documentation</w:t>
        </w:r>
      </w:hyperlink>
      <w:r>
        <w:t>. Accessed 2026-10-04. Access mode: Full-page text extraction.</w:t>
      </w:r>
    </w:p>
    <w:p>
      <w:r>
        <w:t xml:space="preserve">MB4 — </w:t>
      </w:r>
      <w:hyperlink r:id="rId57">
        <w:r>
          <w:rPr>
            <w:color w:val="1D4E6C"/>
            <w:u w:val="single"/>
          </w:rPr>
          <w:t>API release notes, including 2025-09 through 2026-05 changes</w:t>
        </w:r>
      </w:hyperlink>
      <w:r>
        <w:t>. Accessed 2026-10-04. Access mode: Full-page text extraction.</w:t>
      </w:r>
    </w:p>
    <w:p>
      <w:r>
        <w:t xml:space="preserve">MB5 — </w:t>
      </w:r>
      <w:hyperlink r:id="rId58">
        <w:r>
          <w:rPr>
            <w:color w:val="1D4E6C"/>
            <w:u w:val="single"/>
          </w:rPr>
          <w:t>Affiliate API documentation</w:t>
        </w:r>
      </w:hyperlink>
      <w:r>
        <w:t>. Accessed 2026-10-04. Access mode: Full-page text extraction.</w:t>
      </w:r>
    </w:p>
    <w:p>
      <w:r>
        <w:t xml:space="preserve">VAG1 — </w:t>
      </w:r>
      <w:hyperlink r:id="rId59">
        <w:r>
          <w:rPr>
            <w:color w:val="1D4E6C"/>
            <w:u w:val="single"/>
          </w:rPr>
          <w:t>Set Up Webhooks, updated 2026-03-26</w:t>
        </w:r>
      </w:hyperlink>
      <w:r>
        <w:t>. Accessed 2026-10-04. Access mode: Full-page text extraction.</w:t>
      </w:r>
    </w:p>
    <w:p>
      <w:r>
        <w:t xml:space="preserve">VAG2 — </w:t>
      </w:r>
      <w:hyperlink r:id="rId60">
        <w:r>
          <w:rPr>
            <w:color w:val="1D4E6C"/>
            <w:u w:val="single"/>
          </w:rPr>
          <w:t>Search Appointment Availability; browser observed “updated 6 months ago”</w:t>
        </w:r>
      </w:hyperlink>
      <w:r>
        <w:t>. Accessed 2026-10-04. Access mode: Rendered public page.</w:t>
      </w:r>
    </w:p>
    <w:p>
      <w:r>
        <w:t xml:space="preserve">VAG3 — </w:t>
      </w:r>
      <w:hyperlink r:id="rId61">
        <w:r>
          <w:rPr>
            <w:color w:val="1D4E6C"/>
            <w:u w:val="single"/>
          </w:rPr>
          <w:t>Introduction and full public sidebar; browser</w:t>
        </w:r>
      </w:hyperlink>
      <w:r>
        <w:t>. Accessed 2026-10-04. Access mode: Rendered public page.</w:t>
      </w:r>
    </w:p>
    <w:p>
      <w:r>
        <w:t xml:space="preserve">FRE1 — </w:t>
      </w:r>
      <w:hyperlink r:id="rId62">
        <w:r>
          <w:rPr>
            <w:color w:val="1D4E6C"/>
            <w:u w:val="single"/>
          </w:rPr>
          <w:t>Data connector overview, undated</w:t>
        </w:r>
      </w:hyperlink>
      <w:r>
        <w:t>. Accessed 2026-10-04. Access mode: Primary search extract only.</w:t>
      </w:r>
    </w:p>
    <w:p>
      <w:r>
        <w:t xml:space="preserve">FRE2 — </w:t>
      </w:r>
      <w:hyperlink r:id="rId63">
        <w:r>
          <w:rPr>
            <w:color w:val="1D4E6C"/>
            <w:u w:val="single"/>
          </w:rPr>
          <w:t>Create new Data connections</w:t>
        </w:r>
      </w:hyperlink>
      <w:r>
        <w:t>. Accessed 2026-10-04. Access mode: Primary search extract only.</w:t>
      </w:r>
    </w:p>
    <w:p>
      <w:r>
        <w:t xml:space="preserve">OT1 — </w:t>
      </w:r>
      <w:hyperlink r:id="rId13">
        <w:r>
          <w:rPr>
            <w:color w:val="1D4E6C"/>
            <w:u w:val="single"/>
          </w:rPr>
          <w:t>OpenTable API docs, undated current Consumer v2</w:t>
        </w:r>
      </w:hyperlink>
      <w:r>
        <w:t>. Accessed 2026-10-04. Access mode: Primary search extract only.</w:t>
      </w:r>
    </w:p>
    <w:p>
      <w:r>
        <w:t xml:space="preserve">OT2 — </w:t>
      </w:r>
      <w:hyperlink r:id="rId64">
        <w:r>
          <w:rPr>
            <w:color w:val="1D4E6C"/>
            <w:u w:val="single"/>
          </w:rPr>
          <w:t>Developer terms, review and purpose-change restrictions</w:t>
        </w:r>
      </w:hyperlink>
      <w:r>
        <w:t>. Accessed 2026-10-04. Access mode: Full-page text extraction.</w:t>
      </w:r>
    </w:p>
    <w:p>
      <w:r>
        <w:t xml:space="preserve">CAL1 — </w:t>
      </w:r>
      <w:hyperlink r:id="rId65">
        <w:r>
          <w:rPr>
            <w:color w:val="1D4E6C"/>
            <w:u w:val="single"/>
          </w:rPr>
          <w:t>Create Event Invitee</w:t>
        </w:r>
      </w:hyperlink>
      <w:r>
        <w:t>. Accessed 2026-10-04. Access mode: Primary search extract only.</w:t>
      </w:r>
    </w:p>
    <w:p>
      <w:r>
        <w:t xml:space="preserve">CAL2 — </w:t>
      </w:r>
      <w:hyperlink r:id="rId14">
        <w:r>
          <w:rPr>
            <w:color w:val="1D4E6C"/>
            <w:u w:val="single"/>
          </w:rPr>
          <w:t>Schedule Events with AI Agents</w:t>
        </w:r>
      </w:hyperlink>
      <w:r>
        <w:t>. Accessed 2026-10-04. Access mode: Full-page text extraction.</w:t>
      </w:r>
    </w:p>
    <w:p>
      <w:r>
        <w:t xml:space="preserve">CAL3 — </w:t>
      </w:r>
      <w:hyperlink r:id="rId15">
        <w:r>
          <w:rPr>
            <w:color w:val="1D4E6C"/>
            <w:u w:val="single"/>
          </w:rPr>
          <w:t>MCP supported tools</w:t>
        </w:r>
      </w:hyperlink>
      <w:r>
        <w:t>. Accessed 2026-10-04. Access mode: Full-page text extraction.</w:t>
      </w:r>
    </w:p>
    <w:p>
      <w:r>
        <w:t xml:space="preserve">ONC1 — </w:t>
      </w:r>
      <w:hyperlink r:id="rId66">
        <w:r>
          <w:rPr>
            <w:color w:val="1D4E6C"/>
            <w:u w:val="single"/>
          </w:rPr>
          <w:t>February 12, 2026 MCP announcement, updated 2026-07-31</w:t>
        </w:r>
      </w:hyperlink>
      <w:r>
        <w:t>. Accessed 2026-10-04. Access mode: Primary search extract only.</w:t>
      </w:r>
    </w:p>
    <w:p>
      <w:r>
        <w:t xml:space="preserve">ONC2 — </w:t>
      </w:r>
      <w:hyperlink r:id="rId67">
        <w:r>
          <w:rPr>
            <w:color w:val="1D4E6C"/>
            <w:u w:val="single"/>
          </w:rPr>
          <w:t>Developer introduction, updated 2026-09-07</w:t>
        </w:r>
      </w:hyperlink>
      <w:r>
        <w:t>. Accessed 2026-10-04. Access mode: Full-page text extraction.</w:t>
      </w:r>
    </w:p>
    <w:p>
      <w:r>
        <w:t xml:space="preserve">ONC3 — </w:t>
      </w:r>
      <w:hyperlink r:id="rId16">
        <w:r>
          <w:rPr>
            <w:color w:val="1D4E6C"/>
            <w:u w:val="single"/>
          </w:rPr>
          <w:t>MCP server tools</w:t>
        </w:r>
      </w:hyperlink>
      <w:r>
        <w:t>. Accessed 2026-10-04. Access mode: Primary search extract only.</w:t>
      </w:r>
    </w:p>
    <w:p>
      <w:r>
        <w:t xml:space="preserve">ONC4 — </w:t>
      </w:r>
      <w:hyperlink r:id="rId68">
        <w:r>
          <w:rPr>
            <w:color w:val="1D4E6C"/>
            <w:u w:val="single"/>
          </w:rPr>
          <w:t>September 17 release, updated 2026-09-21</w:t>
        </w:r>
      </w:hyperlink>
      <w:r>
        <w:t>. Accessed 2026-10-04. Access mode: Primary search extract only.</w:t>
      </w:r>
    </w:p>
    <w:p>
      <w:r>
        <w:t xml:space="preserve">AUTO1 — </w:t>
      </w:r>
      <w:hyperlink r:id="rId69">
        <w:r>
          <w:rPr>
            <w:color w:val="1D4E6C"/>
            <w:u w:val="single"/>
          </w:rPr>
          <w:t>Shopmonkey Appointment API v3, undated</w:t>
        </w:r>
      </w:hyperlink>
      <w:r>
        <w:t>. Accessed 2026-10-04. Access mode: Full-page text extraction.</w:t>
      </w:r>
    </w:p>
    <w:p>
      <w:r>
        <w:t xml:space="preserve">AUTO2 — </w:t>
      </w:r>
      <w:hyperlink r:id="rId70">
        <w:r>
          <w:rPr>
            <w:color w:val="1D4E6C"/>
            <w:u w:val="single"/>
          </w:rPr>
          <w:t>Shopmonkey authentication/rate limits</w:t>
        </w:r>
      </w:hyperlink>
      <w:r>
        <w:t>. Accessed 2026-10-04. Access mode: Full-page text extraction.</w:t>
      </w:r>
    </w:p>
    <w:p>
      <w:r>
        <w:t xml:space="preserve">AUTO3 — </w:t>
      </w:r>
      <w:hyperlink r:id="rId71">
        <w:r>
          <w:rPr>
            <w:color w:val="1D4E6C"/>
            <w:u w:val="single"/>
          </w:rPr>
          <w:t>Shopmonkey Webhooks</w:t>
        </w:r>
      </w:hyperlink>
      <w:r>
        <w:t>. Accessed 2026-10-04. Access mode: Full-page text extraction.</w:t>
      </w:r>
    </w:p>
    <w:p>
      <w:r>
        <w:t xml:space="preserve">AUTO4 — </w:t>
      </w:r>
      <w:hyperlink r:id="rId72">
        <w:r>
          <w:rPr>
            <w:color w:val="1D4E6C"/>
            <w:u w:val="single"/>
          </w:rPr>
          <w:t>Tekmetric native widget setup</w:t>
        </w:r>
      </w:hyperlink>
      <w:r>
        <w:t>. Accessed 2026-10-04. Access mode: Primary search extract only.</w:t>
      </w:r>
    </w:p>
    <w:p>
      <w:r>
        <w:t xml:space="preserve">PET1 — </w:t>
      </w:r>
      <w:hyperlink r:id="rId73">
        <w:r>
          <w:rPr>
            <w:color w:val="1D4E6C"/>
            <w:u w:val="single"/>
          </w:rPr>
          <w:t>Gingr older API functions</w:t>
        </w:r>
      </w:hyperlink>
      <w:r>
        <w:t>. Accessed 2026-10-04. Access mode: Primary search extract only.</w:t>
      </w:r>
    </w:p>
    <w:p>
      <w:r>
        <w:t xml:space="preserve">PET2 — </w:t>
      </w:r>
      <w:hyperlink r:id="rId74">
        <w:r>
          <w:rPr>
            <w:color w:val="1D4E6C"/>
            <w:u w:val="single"/>
          </w:rPr>
          <w:t>Gingr Partner API release notes, historical dated entries plus current undated v1.9.0</w:t>
        </w:r>
      </w:hyperlink>
      <w:r>
        <w:t>. Accessed 2026-10-04. Access mode: Primary search extract only.</w:t>
      </w:r>
    </w:p>
    <w:p>
      <w:r>
        <w:t xml:space="preserve">PET3 — </w:t>
      </w:r>
      <w:hyperlink r:id="rId75">
        <w:r>
          <w:rPr>
            <w:color w:val="1D4E6C"/>
            <w:u w:val="single"/>
          </w:rPr>
          <w:t>Gingr new public OpenAPI index v1.8.1</w:t>
        </w:r>
      </w:hyperlink>
      <w:r>
        <w:t>. Accessed 2026-10-04. Access mode: Primary search extract only.</w:t>
      </w:r>
    </w:p>
    <w:p>
      <w:r>
        <w:t xml:space="preserve">PET4 — </w:t>
      </w:r>
      <w:hyperlink r:id="rId76">
        <w:r>
          <w:rPr>
            <w:color w:val="1D4E6C"/>
            <w:u w:val="single"/>
          </w:rPr>
          <w:t>MoeGo official pricing, API platform under Enterprise</w:t>
        </w:r>
      </w:hyperlink>
      <w:r>
        <w:t>. Accessed 2026-10-04. Access mode: Primary search extract only.</w:t>
      </w:r>
    </w:p>
    <w:p>
      <w:r>
        <w:t xml:space="preserve">PET5 — </w:t>
      </w:r>
      <w:hyperlink r:id="rId77">
        <w:r>
          <w:rPr>
            <w:color w:val="1D4E6C"/>
            <w:u w:val="single"/>
          </w:rPr>
          <w:t>MoeGo-published appointment API docs; publisher provenance confirmed by GitHub organization domain verification (PET6); production contract/entitlement untested</w:t>
        </w:r>
      </w:hyperlink>
      <w:r>
        <w:t>. Accessed 2026-10-04. Access mode: Full-page text extraction.</w:t>
      </w:r>
    </w:p>
    <w:p>
      <w:r>
        <w:t xml:space="preserve">HEALTH1 — </w:t>
      </w:r>
      <w:hyperlink r:id="rId78">
        <w:r>
          <w:rPr>
            <w:color w:val="1D4E6C"/>
            <w:u w:val="single"/>
          </w:rPr>
          <w:t>NexHealth Getting Started</w:t>
        </w:r>
      </w:hyperlink>
      <w:r>
        <w:t>. Accessed 2026-10-04. Access mode: Primary search extract only.</w:t>
      </w:r>
    </w:p>
    <w:p>
      <w:r>
        <w:t xml:space="preserve">HEALTH2 — </w:t>
      </w:r>
      <w:hyperlink r:id="rId79">
        <w:r>
          <w:rPr>
            <w:color w:val="1D4E6C"/>
            <w:u w:val="single"/>
          </w:rPr>
          <w:t>NexHealth sandbox versus production quickstart</w:t>
        </w:r>
      </w:hyperlink>
      <w:r>
        <w:t>. Accessed 2026-10-04. Access mode: Full-page text extraction.</w:t>
      </w:r>
    </w:p>
    <w:p>
      <w:r>
        <w:t xml:space="preserve">HEALTH3 — </w:t>
      </w:r>
      <w:hyperlink r:id="rId80">
        <w:r>
          <w:rPr>
            <w:color w:val="1D4E6C"/>
            <w:u w:val="single"/>
          </w:rPr>
          <w:t>NexHealth Appointments overview, v3.0.0/v20240412, showed updated 3 days ago</w:t>
        </w:r>
      </w:hyperlink>
      <w:r>
        <w:t>. Accessed 2026-10-04. Access mode: Full-page text extraction.</w:t>
      </w:r>
    </w:p>
    <w:p>
      <w:r>
        <w:t xml:space="preserve">HEALTH4 — </w:t>
      </w:r>
      <w:hyperlink r:id="rId81">
        <w:r>
          <w:rPr>
            <w:color w:val="1D4E6C"/>
            <w:u w:val="single"/>
          </w:rPr>
          <w:t>NexHealth current PATCH reference, EHR-specific reschedule support</w:t>
        </w:r>
      </w:hyperlink>
      <w:r>
        <w:t>. Accessed 2026-10-04. Access mode: Primary search extract only.</w:t>
      </w:r>
    </w:p>
    <w:p>
      <w:r>
        <w:t xml:space="preserve">HEALTH5 — </w:t>
      </w:r>
      <w:hyperlink r:id="rId82">
        <w:r>
          <w:rPr>
            <w:color w:val="1D4E6C"/>
            <w:u w:val="single"/>
          </w:rPr>
          <w:t>Open Dental API Appointments, version-added annotations</w:t>
        </w:r>
      </w:hyperlink>
      <w:r>
        <w:t>. Accessed 2026-10-04. Access mode: Primary search extract only.</w:t>
      </w:r>
    </w:p>
    <w:p>
      <w:r>
        <w:t xml:space="preserve">HEALTH6 — </w:t>
      </w:r>
      <w:hyperlink r:id="rId83">
        <w:r>
          <w:rPr>
            <w:color w:val="1D4E6C"/>
            <w:u w:val="single"/>
          </w:rPr>
          <w:t>Open Dental API implementation</w:t>
        </w:r>
      </w:hyperlink>
      <w:r>
        <w:t>. Accessed 2026-10-04. Access mode: Primary search extract only.</w:t>
      </w:r>
    </w:p>
    <w:p>
      <w:r>
        <w:t xml:space="preserve">HEALTH7 — </w:t>
      </w:r>
      <w:hyperlink r:id="rId84">
        <w:r>
          <w:rPr>
            <w:color w:val="1D4E6C"/>
            <w:u w:val="single"/>
          </w:rPr>
          <w:t>DrChrono 11.0 API current reference/provider OAuth</w:t>
        </w:r>
      </w:hyperlink>
      <w:r>
        <w:t>. Accessed 2026-10-04. Access mode: Primary search extract only.</w:t>
      </w:r>
    </w:p>
    <w:p>
      <w:r>
        <w:t xml:space="preserve">GOOG1 — </w:t>
      </w:r>
      <w:hyperlink r:id="rId85">
        <w:r>
          <w:rPr>
            <w:color w:val="1D4E6C"/>
            <w:u w:val="single"/>
          </w:rPr>
          <w:t>Actions Center Local Services E2E overview, updated 2026-04-01</w:t>
        </w:r>
      </w:hyperlink>
      <w:r>
        <w:t>. Accessed 2026-10-04. Access mode: Full-page text extraction.</w:t>
      </w:r>
    </w:p>
    <w:p>
      <w:r>
        <w:t xml:space="preserve">GOOG2 — </w:t>
      </w:r>
      <w:hyperlink r:id="rId86">
        <w:r>
          <w:rPr>
            <w:color w:val="1D4E6C"/>
            <w:u w:val="single"/>
          </w:rPr>
          <w:t>Local Services real-time updates</w:t>
        </w:r>
      </w:hyperlink>
      <w:r>
        <w:t>. Accessed 2026-10-04. Access mode: Full-page text extraction.</w:t>
      </w:r>
    </w:p>
    <w:p>
      <w:r>
        <w:t xml:space="preserve">GOOG3 — </w:t>
      </w:r>
      <w:hyperlink r:id="rId87">
        <w:r>
          <w:rPr>
            <w:color w:val="1D4E6C"/>
            <w:u w:val="single"/>
          </w:rPr>
          <w:t>Local Services booking server/idempotency</w:t>
        </w:r>
      </w:hyperlink>
      <w:r>
        <w:t>. Accessed 2026-10-04. Access mode: Full-page text extraction.</w:t>
      </w:r>
    </w:p>
    <w:p>
      <w:r>
        <w:t xml:space="preserve">GOOG4 — </w:t>
      </w:r>
      <w:hyperlink r:id="rId88">
        <w:r>
          <w:rPr>
            <w:color w:val="1D4E6C"/>
            <w:u w:val="single"/>
          </w:rPr>
          <w:t>Restaurant reservation booking specification, reference-model only</w:t>
        </w:r>
      </w:hyperlink>
      <w:r>
        <w:t>. Accessed 2026-10-04. Access mode: Primary search extract only.</w:t>
      </w:r>
    </w:p>
    <w:p>
      <w:r>
        <w:t xml:space="preserve">SEC1 — </w:t>
      </w:r>
      <w:hyperlink r:id="rId111">
        <w:r>
          <w:rPr>
            <w:color w:val="1D4E6C"/>
            <w:u w:val="single"/>
          </w:rPr>
          <w:t>MCP security best practices, version path 2026-07-28</w:t>
        </w:r>
      </w:hyperlink>
      <w:r>
        <w:t>. Accessed 2026-10-04. Access mode: Full-page text extraction.</w:t>
      </w:r>
    </w:p>
    <w:p>
      <w:r>
        <w:t xml:space="preserve">SEC2 — </w:t>
      </w:r>
      <w:hyperlink r:id="rId112">
        <w:r>
          <w:rPr>
            <w:color w:val="1D4E6C"/>
            <w:u w:val="single"/>
          </w:rPr>
          <w:t>HHS business-associate guidance, current accessed version</w:t>
        </w:r>
      </w:hyperlink>
      <w:r>
        <w:t>. Accessed 2026-10-04. Access mode: Primary search extract only.</w:t>
      </w:r>
    </w:p>
    <w:p>
      <w:r>
        <w:t xml:space="preserve">SEC3 — </w:t>
      </w:r>
      <w:hyperlink r:id="rId113">
        <w:r>
          <w:rPr>
            <w:color w:val="1D4E6C"/>
            <w:u w:val="single"/>
          </w:rPr>
          <w:t>HHS software-vendor relationship guidance</w:t>
        </w:r>
      </w:hyperlink>
      <w:r>
        <w:t>. Accessed 2026-10-04. Access mode: Primary search extract only.</w:t>
      </w:r>
    </w:p>
    <w:p>
      <w:r>
        <w:t xml:space="preserve">SEC4 — </w:t>
      </w:r>
      <w:hyperlink r:id="rId114">
        <w:r>
          <w:rPr>
            <w:color w:val="1D4E6C"/>
            <w:u w:val="single"/>
          </w:rPr>
          <w:t>PCI SSC outsourced payment-processing FAQ</w:t>
        </w:r>
      </w:hyperlink>
      <w:r>
        <w:t>. Accessed 2026-10-04. Access mode: Primary search extract only.</w:t>
      </w:r>
    </w:p>
    <w:p>
      <w:r>
        <w:t xml:space="preserve">MB6 — </w:t>
      </w:r>
      <w:hyperlink r:id="rId91">
        <w:r>
          <w:rPr>
            <w:color w:val="1D4E6C"/>
            <w:u w:val="single"/>
          </w:rPr>
          <w:t>Mindbody pricing FAQ: USD, Site ID all-location billing, no current scaled/bulk pricing; undated</w:t>
        </w:r>
      </w:hyperlink>
      <w:r>
        <w:t>. Accessed 2026-10-04. Access mode: Rendered public page.</w:t>
      </w:r>
    </w:p>
    <w:p>
      <w:r>
        <w:t xml:space="preserve">PET6 — </w:t>
      </w:r>
      <w:hyperlink r:id="rId119">
        <w:r>
          <w:rPr>
            <w:color w:val="1D4E6C"/>
            <w:u w:val="single"/>
          </w:rPr>
          <w:t>MoeGo Inc Github organization verified to control moego.pet; links moegoapis repo</w:t>
        </w:r>
      </w:hyperlink>
      <w:r>
        <w:t>. Accessed 2026-10-04. Access mode: Full-page text extraction.</w:t>
      </w:r>
    </w:p>
    <w:p>
      <w:r>
        <w:t xml:space="preserve">C1 — </w:t>
      </w:r>
      <w:hyperlink r:id="rId92">
        <w:r>
          <w:rPr>
            <w:color w:val="1D4E6C"/>
            <w:u w:val="single"/>
          </w:rPr>
          <w:t>MaidThis Boston service menu. published prices by cadence/home size; website links a Launch27 customer account</w:t>
        </w:r>
      </w:hyperlink>
      <w:r>
        <w:t>. Accessed 2026-10-04. Access mode: First-party web research.</w:t>
      </w:r>
    </w:p>
    <w:p>
      <w:r>
        <w:t xml:space="preserve">C2 — </w:t>
      </w:r>
      <w:hyperlink r:id="rId103">
        <w:r>
          <w:rPr>
            <w:color w:val="1D4E6C"/>
            <w:u w:val="single"/>
          </w:rPr>
          <w:t>Molly Maid recurring cleaning. offered recurring schedules and in-home estimate rationale</w:t>
        </w:r>
      </w:hyperlink>
      <w:r>
        <w:t>. Accessed 2026-10-04. Access mode: First-party web research.</w:t>
      </w:r>
    </w:p>
    <w:p>
      <w:r>
        <w:t xml:space="preserve">C3 — </w:t>
      </w:r>
      <w:hyperlink r:id="rId17">
        <w:r>
          <w:rPr>
            <w:color w:val="1D4E6C"/>
            <w:u w:val="single"/>
          </w:rPr>
          <w:t>Launch27 features. availability, price configuration, recurrence, API and self-service claims</w:t>
        </w:r>
      </w:hyperlink>
      <w:r>
        <w:t>. Accessed 2026-10-04. Access mode: First-party web research.</w:t>
      </w:r>
    </w:p>
    <w:p>
      <w:r>
        <w:t xml:space="preserve">C4 — </w:t>
      </w:r>
      <w:hyperlink r:id="rId18">
        <w:r>
          <w:rPr>
            <w:color w:val="1D4E6C"/>
            <w:u w:val="single"/>
          </w:rPr>
          <w:t>HCP Online Booking Overview. price forms, staff, service area and payment configuration</w:t>
        </w:r>
      </w:hyperlink>
      <w:r>
        <w:t>. Accessed 2026-10-04. Access mode: First-party web research.</w:t>
      </w:r>
    </w:p>
    <w:p>
      <w:r>
        <w:t xml:space="preserve">C5 — </w:t>
      </w:r>
      <w:hyperlink r:id="rId19">
        <w:r>
          <w:rPr>
            <w:color w:val="1D4E6C"/>
            <w:u w:val="single"/>
          </w:rPr>
          <w:t>Jobber Online Booking. assessment vs job booking, drive-time and service area constraints</w:t>
        </w:r>
      </w:hyperlink>
      <w:r>
        <w:t>. Accessed 2026-10-04. Access mode: First-party web research.</w:t>
      </w:r>
    </w:p>
    <w:p>
      <w:r>
        <w:t xml:space="preserve">C6 — </w:t>
      </w:r>
      <w:hyperlink r:id="rId20">
        <w:r>
          <w:rPr>
            <w:color w:val="1D4E6C"/>
            <w:u w:val="single"/>
          </w:rPr>
          <w:t>HCP AI booking and dispatch. first-party description of CSR AI and online booking</w:t>
        </w:r>
      </w:hyperlink>
      <w:r>
        <w:t>. Accessed 2026-10-04. Access mode: First-party web research.</w:t>
      </w:r>
    </w:p>
    <w:p>
      <w:r>
        <w:t xml:space="preserve">C7 — </w:t>
      </w:r>
      <w:hyperlink r:id="rId21">
        <w:r>
          <w:rPr>
            <w:color w:val="1D4E6C"/>
            <w:u w:val="single"/>
          </w:rPr>
          <w:t>Jobber Receptionist existing-client update. visit-change self-service capabilities</w:t>
        </w:r>
      </w:hyperlink>
      <w:r>
        <w:t>. Accessed 2026-10-04. Access mode: First-party web research.</w:t>
      </w:r>
    </w:p>
    <w:p>
      <w:r>
        <w:t xml:space="preserve">B1 — </w:t>
      </w:r>
      <w:hyperlink r:id="rId93">
        <w:r>
          <w:rPr>
            <w:color w:val="1D4E6C"/>
            <w:u w:val="single"/>
          </w:rPr>
          <w:t>Boston Barber Beacon Hill. service menu and Square booking links</w:t>
        </w:r>
      </w:hyperlink>
      <w:r>
        <w:t>. Accessed 2026-10-04. Access mode: First-party web research.</w:t>
      </w:r>
    </w:p>
    <w:p>
      <w:r>
        <w:t xml:space="preserve">B3 — </w:t>
      </w:r>
      <w:hyperlink r:id="rId22">
        <w:r>
          <w:rPr>
            <w:color w:val="1D4E6C"/>
            <w:u w:val="single"/>
          </w:rPr>
          <w:t>Square API requirements. nonzero cancellation-fee booking creation is unsupported</w:t>
        </w:r>
      </w:hyperlink>
      <w:r>
        <w:t>. Accessed 2026-10-04. Access mode: First-party web research.</w:t>
      </w:r>
    </w:p>
    <w:p>
      <w:r>
        <w:t xml:space="preserve">B2 — </w:t>
      </w:r>
      <w:hyperlink r:id="rId12">
        <w:r>
          <w:rPr>
            <w:color w:val="1D4E6C"/>
            <w:u w:val="single"/>
          </w:rPr>
          <w:t>Square Bookings API. availability/lifecycle, buyer/seller permissions and plan limitations</w:t>
        </w:r>
      </w:hyperlink>
      <w:r>
        <w:t>. Accessed 2026-10-04. Access mode: First-party web research.</w:t>
      </w:r>
    </w:p>
    <w:p>
      <w:r>
        <w:t xml:space="preserve">L1 — </w:t>
      </w:r>
      <w:hyperlink r:id="rId94">
        <w:r>
          <w:rPr>
            <w:color w:val="1D4E6C"/>
            <w:u w:val="single"/>
          </w:rPr>
          <w:t>LOD Boston. per-bag menu and app-only delivery proposition; no order placed</w:t>
        </w:r>
      </w:hyperlink>
      <w:r>
        <w:t>. Accessed 2026-10-04. Access mode: First-party web research.</w:t>
      </w:r>
    </w:p>
    <w:p>
      <w:r>
        <w:t xml:space="preserve">L2 — </w:t>
      </w:r>
      <w:hyperlink r:id="rId110">
        <w:r>
          <w:rPr>
            <w:color w:val="1D4E6C"/>
            <w:u w:val="single"/>
          </w:rPr>
          <w:t>Cents pickup and delivery. route, zone, modifier and recurring-order product claims</w:t>
        </w:r>
      </w:hyperlink>
      <w:r>
        <w:t>. Accessed 2026-10-04. Access mode: First-party web research.</w:t>
      </w:r>
    </w:p>
    <w:p>
      <w:r>
        <w:t xml:space="preserve">G1 — </w:t>
      </w:r>
      <w:hyperlink r:id="rId95">
        <w:r>
          <w:rPr>
            <w:color w:val="1D4E6C"/>
            <w:u w:val="single"/>
          </w:rPr>
          <w:t>Coqui grooming prices. size-based services and condition-dependent extras</w:t>
        </w:r>
      </w:hyperlink>
      <w:r>
        <w:t>. Accessed 2026-10-04. Access mode: First-party web research.</w:t>
      </w:r>
    </w:p>
    <w:p>
      <w:r>
        <w:t xml:space="preserve">G2 — </w:t>
      </w:r>
      <w:hyperlink r:id="rId120">
        <w:r>
          <w:rPr>
            <w:color w:val="1D4E6C"/>
            <w:u w:val="single"/>
          </w:rPr>
          <w:t>PetSmart grooming FAQ. indexed primary FAQ describes estimated pricing and account/eligibility requirements; full-page fetch failed, so this is less robust than an inspected live checkout</w:t>
        </w:r>
      </w:hyperlink>
      <w:r>
        <w:t>. Accessed 2026-10-04. Access mode: First-party web research.</w:t>
      </w:r>
    </w:p>
    <w:p>
      <w:r>
        <w:t xml:space="preserve">G3 — </w:t>
      </w:r>
      <w:hyperlink r:id="rId104">
        <w:r>
          <w:rPr>
            <w:color w:val="1D4E6C"/>
            <w:u w:val="single"/>
          </w:rPr>
          <w:t>PetSmart appointment page. published four-to-six-week recommendation includes at-home care</w:t>
        </w:r>
      </w:hyperlink>
      <w:r>
        <w:t>. Accessed 2026-10-04. Access mode: First-party web research.</w:t>
      </w:r>
    </w:p>
    <w:p>
      <w:r>
        <w:t xml:space="preserve">N1 — </w:t>
      </w:r>
      <w:hyperlink r:id="rId96">
        <w:r>
          <w:rPr>
            <w:color w:val="1D4E6C"/>
            <w:u w:val="single"/>
          </w:rPr>
          <w:t>Lawn Love Boston. seller-published local average, quote path and digital service proposition; sample methodology not disclosed</w:t>
        </w:r>
      </w:hyperlink>
      <w:r>
        <w:t>. Accessed 2026-10-04. Access mode: First-party web research.</w:t>
      </w:r>
    </w:p>
    <w:p>
      <w:r>
        <w:t xml:space="preserve">N2 — </w:t>
      </w:r>
      <w:hyperlink r:id="rId105">
        <w:r>
          <w:rPr>
            <w:color w:val="1D4E6C"/>
            <w:u w:val="single"/>
          </w:rPr>
          <w:t>Lawn Love frequency help. explicit cadence and seasonal rules</w:t>
        </w:r>
      </w:hyperlink>
      <w:r>
        <w:t>. Accessed 2026-10-04. Access mode: First-party web research.</w:t>
      </w:r>
    </w:p>
    <w:p>
      <w:r>
        <w:t xml:space="preserve">A1 — </w:t>
      </w:r>
      <w:hyperlink r:id="rId97">
        <w:r>
          <w:rPr>
            <w:color w:val="1D4E6C"/>
            <w:u w:val="single"/>
          </w:rPr>
          <w:t>Massachusetts vehicle inspections. annual requirement and $35 fee for most vehicles</w:t>
        </w:r>
      </w:hyperlink>
      <w:r>
        <w:t>. Accessed 2026-10-04. Access mode: First-party web research.</w:t>
      </w:r>
    </w:p>
    <w:p>
      <w:r>
        <w:t xml:space="preserve">H1 — </w:t>
      </w:r>
      <w:hyperlink r:id="rId98">
        <w:r>
          <w:rPr>
            <w:color w:val="1D4E6C"/>
            <w:u w:val="single"/>
          </w:rPr>
          <w:t>Comfort Professor tune-up. dated promotional offer and restrictions; expired $59 September offer intentionally excluded</w:t>
        </w:r>
      </w:hyperlink>
      <w:r>
        <w:t>. Accessed 2026-10-04. Access mode: First-party web research.</w:t>
      </w:r>
    </w:p>
    <w:p>
      <w:r>
        <w:t xml:space="preserve">H2 — </w:t>
      </w:r>
      <w:hyperlink r:id="rId106">
        <w:r>
          <w:rPr>
            <w:color w:val="1D4E6C"/>
            <w:u w:val="single"/>
          </w:rPr>
          <w:t>ENERGY STAR maintenance checklist. recommended maintenance timing and scope</w:t>
        </w:r>
      </w:hyperlink>
      <w:r>
        <w:t>. Accessed 2026-10-04. Access mode: First-party web research.</w:t>
      </w:r>
    </w:p>
    <w:p>
      <w:r>
        <w:t xml:space="preserve">F1 — </w:t>
      </w:r>
      <w:hyperlink r:id="rId99">
        <w:r>
          <w:rPr>
            <w:color w:val="1D4E6C"/>
            <w:u w:val="single"/>
          </w:rPr>
          <w:t>Luxe Leisure pricing. South Boston class menu</w:t>
        </w:r>
      </w:hyperlink>
      <w:r>
        <w:t>. Accessed 2026-10-04. Access mode: First-party web research.</w:t>
      </w:r>
    </w:p>
    <w:p>
      <w:r>
        <w:t xml:space="preserve">F2 — </w:t>
      </w:r>
      <w:hyperlink r:id="rId54">
        <w:r>
          <w:rPr>
            <w:color w:val="1D4E6C"/>
            <w:u w:val="single"/>
          </w:rPr>
          <w:t>Mindbody Developer Portal. public API prices; live-browser corroboration confirmed the published fee schedule and free-access conditions; contract applicability remains unverified</w:t>
        </w:r>
      </w:hyperlink>
      <w:r>
        <w:t>. Accessed 2026-10-04. Access mode: First-party web research.</w:t>
      </w:r>
    </w:p>
    <w:p>
      <w:r>
        <w:t xml:space="preserve">F3 — </w:t>
      </w:r>
      <w:hyperlink r:id="rId109">
        <w:r>
          <w:rPr>
            <w:color w:val="1D4E6C"/>
            <w:u w:val="single"/>
          </w:rPr>
          <w:t>Mindbody integrations. existing integration marketplace and ClassPass presence; marketing performance claims not adopted here</w:t>
        </w:r>
      </w:hyperlink>
      <w:r>
        <w:t>. Accessed 2026-10-04. Access mode: First-party web research.</w:t>
      </w:r>
    </w:p>
    <w:p>
      <w:r>
        <w:t xml:space="preserve">P1 — </w:t>
      </w:r>
      <w:hyperlink r:id="rId100">
        <w:r>
          <w:rPr>
            <w:color w:val="1D4E6C"/>
            <w:u w:val="single"/>
          </w:rPr>
          <w:t>Truly Gone plans. Greater Boston published starting prices and exclusions</w:t>
        </w:r>
      </w:hyperlink>
      <w:r>
        <w:t>. Accessed 2026-10-04. Access mode: First-party web research.</w:t>
      </w:r>
    </w:p>
    <w:p>
      <w:r>
        <w:t xml:space="preserve">P2 — </w:t>
      </w:r>
      <w:hyperlink r:id="rId107">
        <w:r>
          <w:rPr>
            <w:color w:val="1D4E6C"/>
            <w:u w:val="single"/>
          </w:rPr>
          <w:t>Terminix pest control. stated customer-plan cadence and geography dependence</w:t>
        </w:r>
      </w:hyperlink>
      <w:r>
        <w:t>. Accessed 2026-10-04. Access mode: First-party web research.</w:t>
      </w:r>
    </w:p>
    <w:p>
      <w:r>
        <w:t xml:space="preserve">R1 — </w:t>
      </w:r>
      <w:hyperlink r:id="rId101">
        <w:r>
          <w:rPr>
            <w:color w:val="1D4E6C"/>
            <w:u w:val="single"/>
          </w:rPr>
          <w:t>Taskrabbit Boston assembly. platform-published hourly average, no completed-job ticket distribution</w:t>
        </w:r>
      </w:hyperlink>
      <w:r>
        <w:t>. Accessed 2026-10-04. Access mode: First-party web research.</w:t>
      </w:r>
    </w:p>
    <w:p>
      <w:r>
        <w:t xml:space="preserve">R2 — </w:t>
      </w:r>
      <w:hyperlink r:id="rId102">
        <w:r>
          <w:rPr>
            <w:color w:val="1D4E6C"/>
            <w:u w:val="single"/>
          </w:rPr>
          <w:t>Taskrabbit service fee. hourly service fee and possible tax</w:t>
        </w:r>
      </w:hyperlink>
      <w:r>
        <w:t>. Accessed 2026-10-04. Access mode: First-party web research.</w:t>
      </w:r>
    </w:p>
    <w:p>
      <w:r>
        <w:t xml:space="preserve">R3 — </w:t>
      </w:r>
      <w:hyperlink r:id="rId121">
        <w:r>
          <w:rPr>
            <w:color w:val="1D4E6C"/>
            <w:u w:val="single"/>
          </w:rPr>
          <w:t>Taskrabbit IKEA task-based pricing. item/complexity pricing and possible manual matching failures</w:t>
        </w:r>
      </w:hyperlink>
      <w:r>
        <w:t>. Accessed 2026-10-04. Access mode: First-party web research.</w:t>
      </w:r>
    </w:p>
    <w:p>
      <w:r>
        <w:t xml:space="preserve">BLS — </w:t>
      </w:r>
      <w:hyperlink r:id="rId108">
        <w:r>
          <w:rPr>
            <w:color w:val="1D4E6C"/>
            <w:u w:val="single"/>
          </w:rPr>
          <w:t>BLS Consumer Expenditures 2024. population spending context only, intentionally not converted into bookings</w:t>
        </w:r>
      </w:hyperlink>
      <w:r>
        <w:t>. Accessed 2026-10-04. Access mode: First-party web research.</w:t>
      </w:r>
    </w:p>
    <w:p>
      <w:r>
        <w:t xml:space="preserve">METHODS — </w:t>
      </w:r>
      <w:hyperlink r:id="rId122">
        <w:r>
          <w:rPr>
            <w:color w:val="1D4E6C"/>
            <w:u w:val="single"/>
          </w:rPr>
          <w:t>AAPOR nonprobability inference caution. methodological limitation</w:t>
        </w:r>
      </w:hyperlink>
      <w:r>
        <w:t>. Accessed 2026-10-04. Access mode: First-party web research.</w:t>
      </w:r>
    </w:p>
    <w:p>
      <w:r>
        <w:t xml:space="preserve">LIVE-C1 — </w:t>
      </w:r>
      <w:hyperlink r:id="rId23">
        <w:r>
          <w:rPr>
            <w:color w:val="1D4E6C"/>
            <w:u w:val="single"/>
          </w:rPr>
          <w:t>Maid Sailors public booking path. Direct precommit inspection; no submitted booking</w:t>
        </w:r>
      </w:hyperlink>
      <w:r>
        <w:t>. Accessed 2026-10-04. Access mode: Rendered public page.</w:t>
      </w:r>
    </w:p>
    <w:p>
      <w:r>
        <w:t xml:space="preserve">LIVE-C2 — </w:t>
      </w:r>
      <w:hyperlink r:id="rId24">
        <w:r>
          <w:rPr>
            <w:color w:val="1D4E6C"/>
            <w:u w:val="single"/>
          </w:rPr>
          <w:t>MaidPro Boston - Downtown public booking path. Direct precommit inspection; no submitted booking</w:t>
        </w:r>
      </w:hyperlink>
      <w:r>
        <w:t>. Accessed 2026-10-04. Access mode: Rendered public page.</w:t>
      </w:r>
    </w:p>
    <w:p>
      <w:r>
        <w:t xml:space="preserve">LIVE-C3 — </w:t>
      </w:r>
      <w:hyperlink r:id="rId123">
        <w:r>
          <w:rPr>
            <w:color w:val="1D4E6C"/>
            <w:u w:val="single"/>
          </w:rPr>
          <w:t>Unmess public booking path. Direct precommit inspection; no submitted booking</w:t>
        </w:r>
      </w:hyperlink>
      <w:r>
        <w:t>. Accessed 2026-10-04. Access mode: Rendered public page.</w:t>
      </w:r>
    </w:p>
    <w:p>
      <w:r>
        <w:t xml:space="preserve">LIVE-beauty_01 — </w:t>
      </w:r>
      <w:hyperlink r:id="rId26">
        <w:r>
          <w:rPr>
            <w:color w:val="1D4E6C"/>
            <w:u w:val="single"/>
          </w:rPr>
          <w:t>LoGrasso's Barbershop public booking path. Direct precommit inspection; no submitted booking</w:t>
        </w:r>
      </w:hyperlink>
      <w:r>
        <w:t>. Accessed 2026-10-04. Access mode: Rendered public page.</w:t>
      </w:r>
    </w:p>
    <w:p>
      <w:r>
        <w:t xml:space="preserve">LIVE-beauty_02 — </w:t>
      </w:r>
      <w:hyperlink r:id="rId27">
        <w:r>
          <w:rPr>
            <w:color w:val="1D4E6C"/>
            <w:u w:val="single"/>
          </w:rPr>
          <w:t>Mr Suazo's Barbershop - Malden public booking path. Direct precommit inspection; no submitted booking</w:t>
        </w:r>
      </w:hyperlink>
      <w:r>
        <w:t>. Accessed 2026-10-04. Access mode: Rendered public page.</w:t>
      </w:r>
    </w:p>
    <w:p>
      <w:r>
        <w:t xml:space="preserve">LIVE-beauty_03 — </w:t>
      </w:r>
      <w:hyperlink r:id="rId28">
        <w:r>
          <w:rPr>
            <w:color w:val="1D4E6C"/>
            <w:u w:val="single"/>
          </w:rPr>
          <w:t>Barbershop Deluxe public booking path. Direct precommit inspection; no submitted booking</w:t>
        </w:r>
      </w:hyperlink>
      <w:r>
        <w:t>. Accessed 2026-10-04. Access mode: Rendered public page.</w:t>
      </w:r>
    </w:p>
    <w:p>
      <w:r>
        <w:t xml:space="preserve">LIVE-pet_01 — </w:t>
      </w:r>
      <w:hyperlink r:id="rId29">
        <w:r>
          <w:rPr>
            <w:color w:val="1D4E6C"/>
            <w:u w:val="single"/>
          </w:rPr>
          <w:t>Petco Brighton public booking path. Direct precommit inspection; no submitted booking</w:t>
        </w:r>
      </w:hyperlink>
      <w:r>
        <w:t>. Accessed 2026-10-04. Access mode: Rendered public page.</w:t>
      </w:r>
    </w:p>
    <w:p>
      <w:r>
        <w:t xml:space="preserve">LIVE-pet_02 — </w:t>
      </w:r>
      <w:hyperlink r:id="rId30">
        <w:r>
          <w:rPr>
            <w:color w:val="1D4E6C"/>
            <w:u w:val="single"/>
          </w:rPr>
          <w:t>PetSmart Cambridge public booking path. Direct precommit inspection; no submitted booking</w:t>
        </w:r>
      </w:hyperlink>
      <w:r>
        <w:t>. Accessed 2026-10-04. Access mode: Rendered public page.</w:t>
      </w:r>
    </w:p>
    <w:p>
      <w:r>
        <w:t xml:space="preserve">LIVE-pet_03 — </w:t>
      </w:r>
      <w:hyperlink r:id="rId31">
        <w:r>
          <w:rPr>
            <w:color w:val="1D4E6C"/>
            <w:u w:val="single"/>
          </w:rPr>
          <w:t>Onyva Boston public booking path. Direct precommit inspection; no submitted booking</w:t>
        </w:r>
      </w:hyperlink>
      <w:r>
        <w:t>. Accessed 2026-10-04. Access mode: Rendered public page.</w:t>
      </w:r>
    </w:p>
    <w:p>
      <w:r>
        <w:t xml:space="preserve">LIVE-A1 — </w:t>
      </w:r>
      <w:hyperlink r:id="rId32">
        <w:r>
          <w:rPr>
            <w:color w:val="1D4E6C"/>
            <w:u w:val="single"/>
          </w:rPr>
          <w:t>Firestone Complete Auto Care Boston public booking path. Direct precommit inspection; no submitted booking</w:t>
        </w:r>
      </w:hyperlink>
      <w:r>
        <w:t>. Accessed 2026-10-04. Access mode: Rendered public page.</w:t>
      </w:r>
    </w:p>
    <w:p>
      <w:r>
        <w:t xml:space="preserve">LIVE-A2 — </w:t>
      </w:r>
      <w:hyperlink r:id="rId33">
        <w:r>
          <w:rPr>
            <w:color w:val="1D4E6C"/>
            <w:u w:val="single"/>
          </w:rPr>
          <w:t>Jiffy Lube Dorchester public booking path. Direct precommit inspection; no submitted booking</w:t>
        </w:r>
      </w:hyperlink>
      <w:r>
        <w:t>. Accessed 2026-10-04. Access mode: Rendered public page.</w:t>
      </w:r>
    </w:p>
    <w:p>
      <w:r>
        <w:t xml:space="preserve">LIVE-A3 — </w:t>
      </w:r>
      <w:hyperlink r:id="rId35">
        <w:r>
          <w:rPr>
            <w:color w:val="1D4E6C"/>
            <w:u w:val="single"/>
          </w:rPr>
          <w:t>Parkway Toyota of Boston public booking path. Direct precommit inspection; no submitted booking</w:t>
        </w:r>
      </w:hyperlink>
      <w:r>
        <w:t>. Accessed 2026-10-04. Access mode: Rendered public page.</w:t>
      </w:r>
    </w:p>
    <w:p>
      <w:r>
        <w:t xml:space="preserve">LIVE-F1 — </w:t>
      </w:r>
      <w:hyperlink r:id="rId36">
        <w:r>
          <w:rPr>
            <w:color w:val="1D4E6C"/>
            <w:u w:val="single"/>
          </w:rPr>
          <w:t>YMCA Huntington Avenue public booking path. Direct precommit inspection; no submitted booking</w:t>
        </w:r>
      </w:hyperlink>
      <w:r>
        <w:t>. Accessed 2026-10-04. Access mode: Rendered public page.</w:t>
      </w:r>
    </w:p>
    <w:p>
      <w:r>
        <w:t xml:space="preserve">LIVE-F2 — </w:t>
      </w:r>
      <w:hyperlink r:id="rId37">
        <w:r>
          <w:rPr>
            <w:color w:val="1D4E6C"/>
            <w:u w:val="single"/>
          </w:rPr>
          <w:t>Orangetheory Boston Back Bay public booking path. Direct precommit inspection; no submitted booking</w:t>
        </w:r>
      </w:hyperlink>
      <w:r>
        <w:t>. Accessed 2026-10-04. Access mode: Rendered public page.</w:t>
      </w:r>
    </w:p>
    <w:p>
      <w:r>
        <w:t xml:space="preserve">LIVE-F3 — </w:t>
      </w:r>
      <w:hyperlink r:id="rId38">
        <w:r>
          <w:rPr>
            <w:color w:val="1D4E6C"/>
            <w:u w:val="single"/>
          </w:rPr>
          <w:t>Boston Yoga Union Back Bay public booking path. Direct precommit inspection; no submitted booking</w:t>
        </w:r>
      </w:hyperlink>
      <w:r>
        <w:t>. Accessed 2026-10-04. Access mode: Rendered public page.</w:t>
      </w:r>
    </w:p>
    <w:p>
      <w:r>
        <w:t xml:space="preserve">LIVE-extra — </w:t>
      </w:r>
      <w:hyperlink r:id="rId39">
        <w:r>
          <w:rPr>
            <w:color w:val="1D4E6C"/>
            <w:u w:val="single"/>
          </w:rPr>
          <w:t>MBL Broad Street Yordy listing. Supplemental removed discovery entry</w:t>
        </w:r>
      </w:hyperlink>
      <w:r>
        <w:t>. Accessed 2026-10-04. Access mode: Rendered public page.</w:t>
      </w:r>
    </w:p>
    <w:p>
      <w:r>
        <w:t xml:space="preserve">LIVE-JL — </w:t>
      </w:r>
      <w:hyperlink r:id="rId34">
        <w:r>
          <w:rPr>
            <w:color w:val="1D4E6C"/>
            <w:u w:val="single"/>
          </w:rPr>
          <w:t>Jiffy Lube Boston market page. Published no-appointment-necessary statement; distinct from timed Dorchester inspection</w:t>
        </w:r>
      </w:hyperlink>
      <w:r>
        <w:t>. Accessed 2026-10-04. Access mode: First-party web research.</w:t>
      </w:r>
    </w:p>
    <w:sectPr w:rsidR="00FC693F" w:rsidRPr="0006063C" w:rsidSect="00034616">
      <w:footerReference w:type="default" r:id="rId9"/>
      <w:pgSz w:w="12240" w:h="15840"/>
      <w:pgMar w:top="1008" w:right="1051" w:bottom="936" w:left="1051"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Agent booking middleware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2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18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before="24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160" w:after="120"/>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line="259"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spacing w:after="120" w:line="259" w:lineRule="auto"/>
      <w:contextualSpacing/>
    </w:pPr>
    <w:rPr>
      <w:rFonts w:ascii="Arial" w:hAnsi="Arial"/>
      <w:color w:val="000000"/>
      <w:sz w:val="21"/>
    </w:r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spacing w:after="120" w:line="259" w:lineRule="auto"/>
      <w:contextualSpacing/>
    </w:pPr>
    <w:rPr>
      <w:rFonts w:ascii="Arial" w:hAnsi="Arial"/>
      <w:color w:val="000000"/>
      <w:sz w:val="21"/>
    </w:r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housecallpro.com/docs/housecall-public-api/c80920efe7ef1-booking-windows" TargetMode="External"/><Relationship Id="rId11" Type="http://schemas.openxmlformats.org/officeDocument/2006/relationships/hyperlink" Target="https://docs.housecallpro.com/docs/housecall-public-api/2dcf481ed7d69-create-a-job" TargetMode="External"/><Relationship Id="rId12" Type="http://schemas.openxmlformats.org/officeDocument/2006/relationships/hyperlink" Target="https://developer.squareup.com/docs/bookings-api/what-it-is" TargetMode="External"/><Relationship Id="rId13" Type="http://schemas.openxmlformats.org/officeDocument/2006/relationships/hyperlink" Target="https://docs.opentable.com/" TargetMode="External"/><Relationship Id="rId14" Type="http://schemas.openxmlformats.org/officeDocument/2006/relationships/hyperlink" Target="https://developer.calendly.com/docs/api-guides/schedule-events-with-ai-agents" TargetMode="External"/><Relationship Id="rId15" Type="http://schemas.openxmlformats.org/officeDocument/2006/relationships/hyperlink" Target="https://developer.calendly.com/docs/mcp/supported-tools" TargetMode="External"/><Relationship Id="rId16" Type="http://schemas.openxmlformats.org/officeDocument/2006/relationships/hyperlink" Target="https://help.oncehub.com/developers/mcp-server/tools" TargetMode="External"/><Relationship Id="rId17" Type="http://schemas.openxmlformats.org/officeDocument/2006/relationships/hyperlink" Target="https://www.launch27.com/software-features/" TargetMode="External"/><Relationship Id="rId18" Type="http://schemas.openxmlformats.org/officeDocument/2006/relationships/hyperlink" Target="https://help.housecallpro.com/en/articles/7034474-online-booking-overview" TargetMode="External"/><Relationship Id="rId19" Type="http://schemas.openxmlformats.org/officeDocument/2006/relationships/hyperlink" Target="https://help.getjobber.com/en/articles/online-booking/" TargetMode="External"/><Relationship Id="rId20" Type="http://schemas.openxmlformats.org/officeDocument/2006/relationships/hyperlink" Target="https://www.housecallpro.com/resources/ai-booking-dispatch-home-services/" TargetMode="External"/><Relationship Id="rId21" Type="http://schemas.openxmlformats.org/officeDocument/2006/relationships/hyperlink" Target="https://productupdates.getjobber.com/121638-receptionist-now-does-more-to-assist-your-existing-clients" TargetMode="External"/><Relationship Id="rId22" Type="http://schemas.openxmlformats.org/officeDocument/2006/relationships/hyperlink" Target="https://developer.squareup.com/docs/bookings-api/get-ready-to-use-the-api" TargetMode="External"/><Relationship Id="rId23" Type="http://schemas.openxmlformats.org/officeDocument/2006/relationships/hyperlink" Target="https://maidsailors.com/book-now/" TargetMode="External"/><Relationship Id="rId24" Type="http://schemas.openxmlformats.org/officeDocument/2006/relationships/hyperlink" Target="https://maidpro.com/boston-maidpro/estimate" TargetMode="External"/><Relationship Id="rId25" Type="http://schemas.openxmlformats.org/officeDocument/2006/relationships/hyperlink" Target="https://getunmess.bookingkoala.com/booknow/home_cleaning?service_id=6&amp;frequency_id=1&amp;coupon=NEWUNMESS&amp;pricing_parameter%5B1%5D=66&amp;utm_source=direct&amp;utm_medium=(none)" TargetMode="External"/><Relationship Id="rId26" Type="http://schemas.openxmlformats.org/officeDocument/2006/relationships/hyperlink" Target="https://booksy.com/en-us/705791_lograssos-barbershop_barber-shop_22412_boston" TargetMode="External"/><Relationship Id="rId27" Type="http://schemas.openxmlformats.org/officeDocument/2006/relationships/hyperlink" Target="https://getsquire.com/booking/brands/mr-suazos-barbershop" TargetMode="External"/><Relationship Id="rId28" Type="http://schemas.openxmlformats.org/officeDocument/2006/relationships/hyperlink" Target="https://book.squareup.com/appointments/i7lh3lz7nwocq7/location/CNPZ1GBSHRYTH/availability" TargetMode="External"/><Relationship Id="rId29" Type="http://schemas.openxmlformats.org/officeDocument/2006/relationships/hyperlink" Target="https://www.petco.com/shop/PetcoServicesBookGrooming?catalogId=10051&amp;storeId=10151&amp;langId=-1&amp;store_number=288" TargetMode="External"/><Relationship Id="rId30" Type="http://schemas.openxmlformats.org/officeDocument/2006/relationships/hyperlink" Target="https://services.petsmart.com/grooming/booking" TargetMode="External"/><Relationship Id="rId31" Type="http://schemas.openxmlformats.org/officeDocument/2006/relationships/hyperlink" Target="https://boston.onyvadogspa.com/" TargetMode="External"/><Relationship Id="rId32" Type="http://schemas.openxmlformats.org/officeDocument/2006/relationships/hyperlink" Target="https://www.firestonecompleteautocare.com/massachusetts/boston/972-commonwealth-avenue/" TargetMode="External"/><Relationship Id="rId33" Type="http://schemas.openxmlformats.org/officeDocument/2006/relationships/hyperlink" Target="https://www.jiffylube.com/locations/ma/dorchester/1632" TargetMode="External"/><Relationship Id="rId34" Type="http://schemas.openxmlformats.org/officeDocument/2006/relationships/hyperlink" Target="https://www.jiffylube.com/market/boston" TargetMode="External"/><Relationship Id="rId35" Type="http://schemas.openxmlformats.org/officeDocument/2006/relationships/hyperlink" Target="https://www.parkwaytoyotaboston.com/service/schedule-service/" TargetMode="External"/><Relationship Id="rId36" Type="http://schemas.openxmlformats.org/officeDocument/2006/relationships/hyperlink" Target="https://ymcaboston.org/healthy-living/fitness-classes/#schedules" TargetMode="External"/><Relationship Id="rId37" Type="http://schemas.openxmlformats.org/officeDocument/2006/relationships/hyperlink" Target="https://www.orangetheory.com/en-us/book-a-class-1?location_id=d5aec246-accd-4726-bdcb-afd2d2c5bc96&amp;2d235898_page=1&amp;step=1" TargetMode="External"/><Relationship Id="rId38" Type="http://schemas.openxmlformats.org/officeDocument/2006/relationships/hyperlink" Target="https://bostonyogaunion.com/back-bay-yoga" TargetMode="External"/><Relationship Id="rId39" Type="http://schemas.openxmlformats.org/officeDocument/2006/relationships/hyperlink" Target="https://getsquire.com/discover/barbershop/mbl-broad-street-boston/barber/yordy-5" TargetMode="External"/><Relationship Id="rId40" Type="http://schemas.openxmlformats.org/officeDocument/2006/relationships/hyperlink" Target="https://docs.housecallpro.com/" TargetMode="External"/><Relationship Id="rId41" Type="http://schemas.openxmlformats.org/officeDocument/2006/relationships/hyperlink" Target="https://help.housecallpro.com/en/articles/8505035-api-overview" TargetMode="External"/><Relationship Id="rId42" Type="http://schemas.openxmlformats.org/officeDocument/2006/relationships/hyperlink" Target="https://docs.housecallpro.com/docs/housecall-public-api/b87d37ae48a0d-authentication" TargetMode="External"/><Relationship Id="rId43" Type="http://schemas.openxmlformats.org/officeDocument/2006/relationships/hyperlink" Target="https://developer.getjobber.com/docs/" TargetMode="External"/><Relationship Id="rId44" Type="http://schemas.openxmlformats.org/officeDocument/2006/relationships/hyperlink" Target="https://developer.getjobber.com/docs/getting_started/" TargetMode="External"/><Relationship Id="rId45" Type="http://schemas.openxmlformats.org/officeDocument/2006/relationships/hyperlink" Target="https://help.getjobber.com/en/articles/connect-jobber-to-claude-and-chatgpt/" TargetMode="External"/><Relationship Id="rId46" Type="http://schemas.openxmlformats.org/officeDocument/2006/relationships/hyperlink" Target="https://help.getjobber.com/en/articles/receptionistpowered-by-jobber-ai/" TargetMode="External"/><Relationship Id="rId47" Type="http://schemas.openxmlformats.org/officeDocument/2006/relationships/hyperlink" Target="https://developer.servicetitan.io/docs/faqs/developers" TargetMode="External"/><Relationship Id="rId48" Type="http://schemas.openxmlformats.org/officeDocument/2006/relationships/hyperlink" Target="https://developer.servicetitan.io/docs/apis/tenant-crm-v2/endpoints/Bookings_Create" TargetMode="External"/><Relationship Id="rId49" Type="http://schemas.openxmlformats.org/officeDocument/2006/relationships/hyperlink" Target="https://developer.servicetitan.io/docs/apis/tenant-jpm-v2/endpoints/Jobs_Create" TargetMode="External"/><Relationship Id="rId50" Type="http://schemas.openxmlformats.org/officeDocument/2006/relationships/hyperlink" Target="https://help.servicetitan.com/docs/book-jobs-and-schedule-appointments" TargetMode="External"/><Relationship Id="rId51" Type="http://schemas.openxmlformats.org/officeDocument/2006/relationships/hyperlink" Target="https://help.servicetitan.com/docs/set-up-capacity-and-availability-with-scheduling-pro-in-servicetitan-max" TargetMode="External"/><Relationship Id="rId52" Type="http://schemas.openxmlformats.org/officeDocument/2006/relationships/hyperlink" Target="https://developer.squareup.com/reference/square/bookings/create-booking" TargetMode="External"/><Relationship Id="rId53" Type="http://schemas.openxmlformats.org/officeDocument/2006/relationships/hyperlink" Target="https://developer.squareup.com/docs/bookings-api/use-webhooks" TargetMode="External"/><Relationship Id="rId54" Type="http://schemas.openxmlformats.org/officeDocument/2006/relationships/hyperlink" Target="https://developers.mindbodyonline.com/" TargetMode="External"/><Relationship Id="rId55" Type="http://schemas.openxmlformats.org/officeDocument/2006/relationships/hyperlink" Target="https://developers.mindbodyonline.com/resources/faqs" TargetMode="External"/><Relationship Id="rId56" Type="http://schemas.openxmlformats.org/officeDocument/2006/relationships/hyperlink" Target="https://developers.mindbodyonline.com/WebhooksDocumentation" TargetMode="External"/><Relationship Id="rId57" Type="http://schemas.openxmlformats.org/officeDocument/2006/relationships/hyperlink" Target="https://developers.mindbodyonline.com/Resources/ApiReleaseNotes" TargetMode="External"/><Relationship Id="rId58" Type="http://schemas.openxmlformats.org/officeDocument/2006/relationships/hyperlink" Target="https://developers.mindbodyonline.com/AffiliateDocumentation" TargetMode="External"/><Relationship Id="rId59" Type="http://schemas.openxmlformats.org/officeDocument/2006/relationships/hyperlink" Target="https://support.vagaro.com/hc/en-us/articles/29521637950875-Set-Up-Webhooks-From-Vagaro" TargetMode="External"/><Relationship Id="rId60" Type="http://schemas.openxmlformats.org/officeDocument/2006/relationships/hyperlink" Target="https://docs.vagaro.com/public/reference/search-availability" TargetMode="External"/><Relationship Id="rId61" Type="http://schemas.openxmlformats.org/officeDocument/2006/relationships/hyperlink" Target="https://docs.vagaro.com/public/reference/api-introduction" TargetMode="External"/><Relationship Id="rId62" Type="http://schemas.openxmlformats.org/officeDocument/2006/relationships/hyperlink" Target="https://www.fresha.com/help-center/knowledge-base/reports/432-data-connector-overview" TargetMode="External"/><Relationship Id="rId63" Type="http://schemas.openxmlformats.org/officeDocument/2006/relationships/hyperlink" Target="https://www.fresha.com/help-center/knowledge-base/reports/479-available-data-connector-tools" TargetMode="External"/><Relationship Id="rId64" Type="http://schemas.openxmlformats.org/officeDocument/2006/relationships/hyperlink" Target="https://www.opentable.com/restaurant-solutions/api-partners/terms-and-conditions/" TargetMode="External"/><Relationship Id="rId65" Type="http://schemas.openxmlformats.org/officeDocument/2006/relationships/hyperlink" Target="https://developer.calendly.com/api-docs/calendly-api/scheduled-events/create-event-invitee" TargetMode="External"/><Relationship Id="rId66" Type="http://schemas.openxmlformats.org/officeDocument/2006/relationships/hyperlink" Target="https://help.oncehub.com/help/feb-12-2026-mcp-server-expanded-zapier-integration" TargetMode="External"/><Relationship Id="rId67" Type="http://schemas.openxmlformats.org/officeDocument/2006/relationships/hyperlink" Target="https://help.oncehub.com/developers/overview/introduction" TargetMode="External"/><Relationship Id="rId68" Type="http://schemas.openxmlformats.org/officeDocument/2006/relationships/hyperlink" Target="https://help.oncehub.com/whats-new/2026-09-17-booking-calendar-owner-booking-calendars-lobby-australian-phone-numbers-mcp-tool-customizable-contact-statuses/" TargetMode="External"/><Relationship Id="rId69" Type="http://schemas.openxmlformats.org/officeDocument/2006/relationships/hyperlink" Target="https://shopmonkey.dev/resources/appointment" TargetMode="External"/><Relationship Id="rId70" Type="http://schemas.openxmlformats.org/officeDocument/2006/relationships/hyperlink" Target="https://shopmonkey.dev/overview" TargetMode="External"/><Relationship Id="rId71" Type="http://schemas.openxmlformats.org/officeDocument/2006/relationships/hyperlink" Target="https://shopmonkey.dev/webhooks" TargetMode="External"/><Relationship Id="rId72" Type="http://schemas.openxmlformats.org/officeDocument/2006/relationships/hyperlink" Target="https://support.tekmetric.com/hc/en-us/articles/28473625801623-Installing-Tekmetric-Online-Booking" TargetMode="External"/><Relationship Id="rId73" Type="http://schemas.openxmlformats.org/officeDocument/2006/relationships/hyperlink" Target="https://support.gingrapp.com/hc/en-us/articles/25722122517517-Gingr-API-Functions-Reference" TargetMode="External"/><Relationship Id="rId74" Type="http://schemas.openxmlformats.org/officeDocument/2006/relationships/hyperlink" Target="https://api-docs.gingrapp.com/release_notes.html" TargetMode="External"/><Relationship Id="rId75" Type="http://schemas.openxmlformats.org/officeDocument/2006/relationships/hyperlink" Target="https://docs.gingr.io/documentation" TargetMode="External"/><Relationship Id="rId76" Type="http://schemas.openxmlformats.org/officeDocument/2006/relationships/hyperlink" Target="https://www.moego.pet/pricing" TargetMode="External"/><Relationship Id="rId77" Type="http://schemas.openxmlformats.org/officeDocument/2006/relationships/hyperlink" Target="https://moegolibrary.github.io/moegoapis/docs/appointment.html" TargetMode="External"/><Relationship Id="rId78" Type="http://schemas.openxmlformats.org/officeDocument/2006/relationships/hyperlink" Target="https://docs.nexhealth.com/docs/getting-started" TargetMode="External"/><Relationship Id="rId79" Type="http://schemas.openxmlformats.org/officeDocument/2006/relationships/hyperlink" Target="https://docs.nexhealth.com/docs/scheduling-quickstart-guide" TargetMode="External"/><Relationship Id="rId80" Type="http://schemas.openxmlformats.org/officeDocument/2006/relationships/hyperlink" Target="https://docs.nexhealth.com/reference/appointments-1" TargetMode="External"/><Relationship Id="rId81" Type="http://schemas.openxmlformats.org/officeDocument/2006/relationships/hyperlink" Target="https://docs.nexhealth.com/reference/patchappointmentsid" TargetMode="External"/><Relationship Id="rId82" Type="http://schemas.openxmlformats.org/officeDocument/2006/relationships/hyperlink" Target="https://www.opendental.com/site/apiappointments.html" TargetMode="External"/><Relationship Id="rId83" Type="http://schemas.openxmlformats.org/officeDocument/2006/relationships/hyperlink" Target="https://www.opendental.com/site/apiimplementation.html" TargetMode="External"/><Relationship Id="rId84" Type="http://schemas.openxmlformats.org/officeDocument/2006/relationships/hyperlink" Target="https://app.drchrono.com/api-docs/v3?application=454" TargetMode="External"/><Relationship Id="rId85" Type="http://schemas.openxmlformats.org/officeDocument/2006/relationships/hyperlink" Target="https://developers.google.com/actions-center/verticals/local-services/e2e/integration-steps/overview" TargetMode="External"/><Relationship Id="rId86" Type="http://schemas.openxmlformats.org/officeDocument/2006/relationships/hyperlink" Target="https://developers.google.com/actions-center/verticals/local-services/e2e/integration-steps/real-time-api-updates" TargetMode="External"/><Relationship Id="rId87" Type="http://schemas.openxmlformats.org/officeDocument/2006/relationships/hyperlink" Target="https://developers.google.com/actions-center/verticals/local-services/e2e/integration-steps/implement-booking-server?hl=en" TargetMode="External"/><Relationship Id="rId88" Type="http://schemas.openxmlformats.org/officeDocument/2006/relationships/hyperlink" Target="https://developers.google.com/actions-center/reference/grpc-api-v2/booking-specification" TargetMode="External"/><Relationship Id="rId89" Type="http://schemas.openxmlformats.org/officeDocument/2006/relationships/hyperlink" Target="https://developer.squareup.com/docs/bookings-api/use-the-api" TargetMode="External"/><Relationship Id="rId90" Type="http://schemas.openxmlformats.org/officeDocument/2006/relationships/hyperlink" Target="https://help.housecallpro.com/en/articles/5683520-how-to-enable-webhooks" TargetMode="External"/><Relationship Id="rId91" Type="http://schemas.openxmlformats.org/officeDocument/2006/relationships/hyperlink" Target="https://developers.mindbodyonline.com/ui/faq" TargetMode="External"/><Relationship Id="rId92" Type="http://schemas.openxmlformats.org/officeDocument/2006/relationships/hyperlink" Target="https://maidthis.com/boston/house-cleaning-services/" TargetMode="External"/><Relationship Id="rId93" Type="http://schemas.openxmlformats.org/officeDocument/2006/relationships/hyperlink" Target="https://www.bostonbarber.com/beacon-hill/" TargetMode="External"/><Relationship Id="rId94" Type="http://schemas.openxmlformats.org/officeDocument/2006/relationships/hyperlink" Target="https://www.lodaundry.com/" TargetMode="External"/><Relationship Id="rId95" Type="http://schemas.openxmlformats.org/officeDocument/2006/relationships/hyperlink" Target="https://www.ohanapetboston.com/pricing/dog/grooming" TargetMode="External"/><Relationship Id="rId96" Type="http://schemas.openxmlformats.org/officeDocument/2006/relationships/hyperlink" Target="https://lawnlove.com/massachusetts/boston-lawn-care" TargetMode="External"/><Relationship Id="rId97" Type="http://schemas.openxmlformats.org/officeDocument/2006/relationships/hyperlink" Target="https://www.mass.gov/info-details/vehicle-inspections" TargetMode="External"/><Relationship Id="rId98" Type="http://schemas.openxmlformats.org/officeDocument/2006/relationships/hyperlink" Target="https://comfortprofessor.com/services/hvac/tune-up/" TargetMode="External"/><Relationship Id="rId99" Type="http://schemas.openxmlformats.org/officeDocument/2006/relationships/hyperlink" Target="https://www.luxeleisurestudio.com/new-page" TargetMode="External"/><Relationship Id="rId100" Type="http://schemas.openxmlformats.org/officeDocument/2006/relationships/hyperlink" Target="https://www.trulygone.com/pricing-and-plans/" TargetMode="External"/><Relationship Id="rId101" Type="http://schemas.openxmlformats.org/officeDocument/2006/relationships/hyperlink" Target="https://www.taskrabbit.com/locations/boston/assemble-furniture" TargetMode="External"/><Relationship Id="rId102" Type="http://schemas.openxmlformats.org/officeDocument/2006/relationships/hyperlink" Target="https://support.taskrabbit.com/hc/en-us/articles/46260411872155-What-s-the-Taskrabbit-Service-Fee" TargetMode="External"/><Relationship Id="rId103" Type="http://schemas.openxmlformats.org/officeDocument/2006/relationships/hyperlink" Target="https://www.mollymaid.com/our-services/regular-cleaning-service/" TargetMode="External"/><Relationship Id="rId104" Type="http://schemas.openxmlformats.org/officeDocument/2006/relationships/hyperlink" Target="https://services.petsmart.com/grooming/appointment" TargetMode="External"/><Relationship Id="rId105" Type="http://schemas.openxmlformats.org/officeDocument/2006/relationships/hyperlink" Target="https://support.lawnlove.com/hc/en-us/articles/24340146782098--Customer-How-to-Change-the-Service-Frequency" TargetMode="External"/><Relationship Id="rId106" Type="http://schemas.openxmlformats.org/officeDocument/2006/relationships/hyperlink" Target="https://www.energystar.gov/saveathome/heating-cooling/maintenance-checklist" TargetMode="External"/><Relationship Id="rId107" Type="http://schemas.openxmlformats.org/officeDocument/2006/relationships/hyperlink" Target="https://www.terminix.com/pest-control/" TargetMode="External"/><Relationship Id="rId108" Type="http://schemas.openxmlformats.org/officeDocument/2006/relationships/hyperlink" Target="https://www.bls.gov/opub/reports/consumer-expenditures/2024/home.htm" TargetMode="External"/><Relationship Id="rId109" Type="http://schemas.openxmlformats.org/officeDocument/2006/relationships/hyperlink" Target="https://integrations.mindbodyonline.com/" TargetMode="External"/><Relationship Id="rId110" Type="http://schemas.openxmlformats.org/officeDocument/2006/relationships/hyperlink" Target="https://www.trycents.com/solutions/pickup-delivery-software" TargetMode="External"/><Relationship Id="rId111" Type="http://schemas.openxmlformats.org/officeDocument/2006/relationships/hyperlink" Target="https://modelcontextprotocol.io/docs/2026-07-28/tutorials/security/security_best_practices" TargetMode="External"/><Relationship Id="rId112" Type="http://schemas.openxmlformats.org/officeDocument/2006/relationships/hyperlink" Target="https://www.hhs.gov/hipaa/for-professionals/privacy/guidance/business-associates/index.html" TargetMode="External"/><Relationship Id="rId113" Type="http://schemas.openxmlformats.org/officeDocument/2006/relationships/hyperlink" Target="https://www.hhs.gov/hipaa/for-professionals/faq/is-software-vendor-business-associate/index.html" TargetMode="External"/><Relationship Id="rId114" Type="http://schemas.openxmlformats.org/officeDocument/2006/relationships/hyperlink" Target="https://www.pcisecuritystandards.org/faqs/does-pci-dss-apply-to-merchants-who-outsource-all-payment-processing-operations-and-never-store-process-or-transmit-cardholder-data/" TargetMode="External"/><Relationship Id="rId115" Type="http://schemas.openxmlformats.org/officeDocument/2006/relationships/hyperlink" Target="https://help.getjobber.com/en/articles/developer-center/" TargetMode="External"/><Relationship Id="rId116" Type="http://schemas.openxmlformats.org/officeDocument/2006/relationships/hyperlink" Target="https://developer.servicetitan.io/docs/getting-started/first-api-call" TargetMode="External"/><Relationship Id="rId117" Type="http://schemas.openxmlformats.org/officeDocument/2006/relationships/hyperlink" Target="https://developer.servicetitan.io/docs/apis/tenant-jpm-v2/endpoints/Appointments_Get" TargetMode="External"/><Relationship Id="rId118" Type="http://schemas.openxmlformats.org/officeDocument/2006/relationships/hyperlink" Target="https://developer.squareup.com/reference/square/bookings-api/CancelBooking" TargetMode="External"/><Relationship Id="rId119" Type="http://schemas.openxmlformats.org/officeDocument/2006/relationships/hyperlink" Target="https://github.com/MoeGolibrary" TargetMode="External"/><Relationship Id="rId120" Type="http://schemas.openxmlformats.org/officeDocument/2006/relationships/hyperlink" Target="https://services.petsmart.com/content/grooming-faq" TargetMode="External"/><Relationship Id="rId121" Type="http://schemas.openxmlformats.org/officeDocument/2006/relationships/hyperlink" Target="https://support.taskrabbit.com/hc/en-us/articles/46260422960923-Task-Based-Pricing-Model-for-Clients-at-IKEA-Stores-and-Online" TargetMode="External"/><Relationship Id="rId122" Type="http://schemas.openxmlformats.org/officeDocument/2006/relationships/hyperlink" Target="https://aapor.org/statements/understanding-a-credibility-interval-and-how-it-differs-from-the-margin-of-sampling-error-in-a-public-opinion-poll/" TargetMode="External"/><Relationship Id="rId123" Type="http://schemas.openxmlformats.org/officeDocument/2006/relationships/hyperlink" Target="https://getunmess.bookingkoala.com/booknow/home_cleaning?service_id=6&amp;frequency_id=1&amp;coupon=NEWUNMESS&amp;pricing_parameter%5B1%5D=66&amp;utm_source=direct&amp;utm_medium=%28none%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booking middleware research</dc:title>
  <dc:subject>Evidence, category selection and requirements for permissioned agent booking</dc:subject>
  <dc:creator/>
  <cp:keywords>booking; APIs; research; evidence; Boston</cp:keywords>
  <dc:description>generated by python-docx</dc:description>
  <cp:lastModifiedBy/>
  <cp:revision>1</cp:revision>
  <dcterms:created xsi:type="dcterms:W3CDTF">2013-12-23T23:15:00Z</dcterms:created>
  <dcterms:modified xsi:type="dcterms:W3CDTF">2013-12-23T23:15:00Z</dcterms:modified>
  <cp:category/>
</cp:coreProperties>
</file>