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360" w:lineRule="auto"/>
        <w:jc w:val="center"/>
        <w:rPr>
          <w:rFonts w:ascii="Times New Roman" w:cs="Times New Roman" w:eastAsia="Times New Roman" w:hAnsi="Times New Roman"/>
          <w:b w:val="1"/>
          <w:bCs w:val="1"/>
          <w:sz w:val="28"/>
          <w:szCs w:val="28"/>
        </w:rPr>
      </w:pPr>
      <w:bookmarkStart w:colFirst="0" w:colLast="0" w:name="_77wr6ek12z10" w:id="0"/>
      <w:bookmarkEnd w:id="0"/>
      <w:r w:rsidDel="00000000" w:rsidR="00000000" w:rsidRPr="00000000">
        <w:rPr>
          <w:rFonts w:ascii="Times New Roman" w:cs="Times New Roman" w:eastAsia="Times New Roman" w:hAnsi="Times New Roman"/>
          <w:b w:val="1"/>
          <w:bCs w:val="1"/>
          <w:sz w:val="28"/>
          <w:szCs w:val="28"/>
          <w:rtl w:val="0"/>
        </w:rPr>
        <w:t xml:space="preserve">Un gemelo digital basado en simulación para los servicios médicos de emergencia: despacho predictivo y relocalización dinámica de ambulancias</w:t>
      </w:r>
    </w:p>
    <w:p w:rsidR="00000000" w:rsidDel="00000000" w:rsidP="00000000" w:rsidRDefault="00000000" w:rsidRPr="00000000" w14:paraId="00000002">
      <w:pPr>
        <w:pStyle w:val="Heading2"/>
        <w:keepNext w:val="0"/>
        <w:keepLines w:val="0"/>
        <w:spacing w:after="240" w:before="240" w:line="360" w:lineRule="auto"/>
        <w:jc w:val="center"/>
        <w:rPr>
          <w:rFonts w:ascii="Times New Roman" w:cs="Times New Roman" w:eastAsia="Times New Roman" w:hAnsi="Times New Roman"/>
          <w:b w:val="1"/>
          <w:bCs w:val="1"/>
          <w:sz w:val="28"/>
          <w:szCs w:val="28"/>
        </w:rPr>
      </w:pPr>
      <w:bookmarkStart w:colFirst="0" w:colLast="0" w:name="_m29g1eut1vre" w:id="1"/>
      <w:bookmarkEnd w:id="1"/>
      <w:r w:rsidDel="00000000" w:rsidR="00000000" w:rsidRPr="00000000">
        <w:rPr>
          <w:rFonts w:ascii="Times New Roman" w:cs="Times New Roman" w:eastAsia="Times New Roman" w:hAnsi="Times New Roman"/>
          <w:b w:val="1"/>
          <w:bCs w:val="1"/>
          <w:sz w:val="28"/>
          <w:szCs w:val="28"/>
          <w:rtl w:val="0"/>
        </w:rPr>
        <w:t xml:space="preserve">A Simulation-Based Digital Twin for Emergency Medical Services: Predictive Dispatch and Dynamic Ambulance Reallocation</w:t>
      </w:r>
    </w:p>
    <w:p w:rsidR="00000000" w:rsidDel="00000000" w:rsidP="00000000" w:rsidRDefault="00000000" w:rsidRPr="00000000" w14:paraId="00000003">
      <w:pPr>
        <w:pStyle w:val="Heading2"/>
        <w:keepNext w:val="0"/>
        <w:keepLines w:val="0"/>
        <w:spacing w:after="240" w:before="240" w:line="360" w:lineRule="auto"/>
        <w:jc w:val="center"/>
        <w:rPr>
          <w:rFonts w:ascii="Times New Roman" w:cs="Times New Roman" w:eastAsia="Times New Roman" w:hAnsi="Times New Roman"/>
          <w:b w:val="1"/>
          <w:bCs w:val="1"/>
          <w:sz w:val="22"/>
          <w:szCs w:val="22"/>
        </w:rPr>
      </w:pPr>
      <w:bookmarkStart w:colFirst="0" w:colLast="0" w:name="_g7akirtzgtc" w:id="2"/>
      <w:bookmarkEnd w:id="2"/>
      <w:r w:rsidDel="00000000" w:rsidR="00000000" w:rsidRPr="00000000">
        <w:rPr>
          <w:rFonts w:ascii="Times New Roman" w:cs="Times New Roman" w:eastAsia="Times New Roman" w:hAnsi="Times New Roman"/>
          <w:b w:val="1"/>
          <w:bCs w:val="1"/>
          <w:sz w:val="22"/>
          <w:szCs w:val="22"/>
          <w:rtl w:val="0"/>
        </w:rPr>
        <w:t xml:space="preserve">Garcia Alayo Jack David, </w:t>
      </w:r>
      <w:hyperlink r:id="rId6">
        <w:r w:rsidDel="00000000" w:rsidR="00000000" w:rsidRPr="00000000">
          <w:rPr>
            <w:rFonts w:ascii="Times New Roman" w:cs="Times New Roman" w:eastAsia="Times New Roman" w:hAnsi="Times New Roman"/>
            <w:b w:val="1"/>
            <w:bCs w:val="1"/>
            <w:sz w:val="22"/>
            <w:szCs w:val="22"/>
            <w:u w:val="single"/>
            <w:rtl w:val="0"/>
          </w:rPr>
          <w:t xml:space="preserve">https://orcid.org/0009-0005-3038-242X</w:t>
        </w:r>
      </w:hyperlink>
      <w:r w:rsidDel="00000000" w:rsidR="00000000" w:rsidRPr="00000000">
        <w:rPr>
          <w:rFonts w:ascii="Times New Roman" w:cs="Times New Roman" w:eastAsia="Times New Roman" w:hAnsi="Times New Roman"/>
          <w:b w:val="1"/>
          <w:bCs w:val="1"/>
          <w:sz w:val="22"/>
          <w:szCs w:val="22"/>
          <w:rtl w:val="0"/>
        </w:rPr>
        <w:t xml:space="preserve">, </w:t>
      </w:r>
      <w:hyperlink r:id="rId7">
        <w:r w:rsidDel="00000000" w:rsidR="00000000" w:rsidRPr="00000000">
          <w:rPr>
            <w:rFonts w:ascii="Times New Roman" w:cs="Times New Roman" w:eastAsia="Times New Roman" w:hAnsi="Times New Roman"/>
            <w:b w:val="1"/>
            <w:bCs w:val="1"/>
            <w:sz w:val="22"/>
            <w:szCs w:val="22"/>
            <w:u w:val="single"/>
            <w:rtl w:val="0"/>
          </w:rPr>
          <w:t xml:space="preserve">jgarciaa@unitru.edu.pe</w:t>
        </w:r>
      </w:hyperlink>
      <w:r w:rsidDel="00000000" w:rsidR="00000000" w:rsidRPr="00000000">
        <w:rPr>
          <w:rFonts w:ascii="Times New Roman" w:cs="Times New Roman" w:eastAsia="Times New Roman" w:hAnsi="Times New Roman"/>
          <w:b w:val="1"/>
          <w:bCs w:val="1"/>
          <w:sz w:val="22"/>
          <w:szCs w:val="22"/>
          <w:rtl w:val="0"/>
        </w:rPr>
        <w:t xml:space="preserve"> Pulache Quiroga Gerson Aldair, </w:t>
      </w:r>
      <w:hyperlink r:id="rId8">
        <w:r w:rsidDel="00000000" w:rsidR="00000000" w:rsidRPr="00000000">
          <w:rPr>
            <w:rFonts w:ascii="Times New Roman" w:cs="Times New Roman" w:eastAsia="Times New Roman" w:hAnsi="Times New Roman"/>
            <w:b w:val="1"/>
            <w:bCs w:val="1"/>
            <w:sz w:val="22"/>
            <w:szCs w:val="22"/>
            <w:u w:val="single"/>
            <w:rtl w:val="0"/>
          </w:rPr>
          <w:t xml:space="preserve">https://orcid.org/0009-0008-2898-161X</w:t>
        </w:r>
      </w:hyperlink>
      <w:r w:rsidDel="00000000" w:rsidR="00000000" w:rsidRPr="00000000">
        <w:rPr>
          <w:rFonts w:ascii="Times New Roman" w:cs="Times New Roman" w:eastAsia="Times New Roman" w:hAnsi="Times New Roman"/>
          <w:b w:val="1"/>
          <w:bCs w:val="1"/>
          <w:sz w:val="22"/>
          <w:szCs w:val="22"/>
          <w:rtl w:val="0"/>
        </w:rPr>
        <w:t xml:space="preserve">, </w:t>
      </w:r>
      <w:hyperlink r:id="rId9">
        <w:r w:rsidDel="00000000" w:rsidR="00000000" w:rsidRPr="00000000">
          <w:rPr>
            <w:rFonts w:ascii="Times New Roman" w:cs="Times New Roman" w:eastAsia="Times New Roman" w:hAnsi="Times New Roman"/>
            <w:b w:val="1"/>
            <w:bCs w:val="1"/>
            <w:sz w:val="22"/>
            <w:szCs w:val="22"/>
            <w:u w:val="single"/>
            <w:rtl w:val="0"/>
          </w:rPr>
          <w:t xml:space="preserve">gpulacheq@unitru.edu.pe</w:t>
        </w:r>
      </w:hyperlink>
      <w:r w:rsidDel="00000000" w:rsidR="00000000" w:rsidRPr="00000000">
        <w:rPr>
          <w:rFonts w:ascii="Times New Roman" w:cs="Times New Roman" w:eastAsia="Times New Roman" w:hAnsi="Times New Roman"/>
          <w:b w:val="1"/>
          <w:bCs w:val="1"/>
          <w:sz w:val="22"/>
          <w:szCs w:val="22"/>
          <w:rtl w:val="0"/>
        </w:rPr>
        <w:t xml:space="preserve">, Juan Pedro Santos Fernadez, </w:t>
      </w:r>
      <w:hyperlink r:id="rId10">
        <w:r w:rsidDel="00000000" w:rsidR="00000000" w:rsidRPr="00000000">
          <w:rPr>
            <w:rFonts w:ascii="Times New Roman" w:cs="Times New Roman" w:eastAsia="Times New Roman" w:hAnsi="Times New Roman"/>
            <w:b w:val="1"/>
            <w:bCs w:val="1"/>
            <w:sz w:val="22"/>
            <w:szCs w:val="22"/>
            <w:u w:val="single"/>
            <w:rtl w:val="0"/>
          </w:rPr>
          <w:t xml:space="preserve">https://orcid.org/0000-0002-8882-9256</w:t>
        </w:r>
      </w:hyperlink>
      <w:r w:rsidDel="00000000" w:rsidR="00000000" w:rsidRPr="00000000">
        <w:rPr>
          <w:rFonts w:ascii="Times New Roman" w:cs="Times New Roman" w:eastAsia="Times New Roman" w:hAnsi="Times New Roman"/>
          <w:b w:val="1"/>
          <w:bCs w:val="1"/>
          <w:sz w:val="22"/>
          <w:szCs w:val="22"/>
          <w:rtl w:val="0"/>
        </w:rPr>
        <w:t xml:space="preserve">, </w:t>
      </w:r>
      <w:hyperlink r:id="rId11">
        <w:r w:rsidDel="00000000" w:rsidR="00000000" w:rsidRPr="00000000">
          <w:rPr>
            <w:rFonts w:ascii="Times New Roman" w:cs="Times New Roman" w:eastAsia="Times New Roman" w:hAnsi="Times New Roman"/>
            <w:b w:val="1"/>
            <w:bCs w:val="1"/>
            <w:sz w:val="22"/>
            <w:szCs w:val="22"/>
            <w:u w:val="single"/>
            <w:rtl w:val="0"/>
          </w:rPr>
          <w:t xml:space="preserve">jsantos@unitru.edu.pe</w:t>
        </w:r>
      </w:hyperlink>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4">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vmy9e6fdjiw1"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kfec2g821lc9" w:id="4"/>
      <w:bookmarkEnd w:id="4"/>
      <w:r w:rsidDel="00000000" w:rsidR="00000000" w:rsidRPr="00000000">
        <w:rPr>
          <w:rFonts w:ascii="Times New Roman" w:cs="Times New Roman" w:eastAsia="Times New Roman" w:hAnsi="Times New Roman"/>
          <w:b w:val="1"/>
          <w:bCs w:val="1"/>
          <w:sz w:val="34"/>
          <w:szCs w:val="34"/>
          <w:rtl w:val="0"/>
        </w:rPr>
        <w:t xml:space="preserve">1. Resumen</w:t>
      </w:r>
    </w:p>
    <w:p w:rsidR="00000000" w:rsidDel="00000000" w:rsidP="00000000" w:rsidRDefault="00000000" w:rsidRPr="00000000" w14:paraId="00000006">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86f2xjifn94c" w:id="5"/>
      <w:bookmarkEnd w:id="5"/>
      <w:r w:rsidDel="00000000" w:rsidR="00000000" w:rsidRPr="00000000">
        <w:rPr>
          <w:rFonts w:ascii="Times New Roman" w:cs="Times New Roman" w:eastAsia="Times New Roman" w:hAnsi="Times New Roman"/>
          <w:b w:val="1"/>
          <w:bCs w:val="1"/>
          <w:sz w:val="34"/>
          <w:szCs w:val="34"/>
          <w:rtl w:val="0"/>
        </w:rPr>
        <w:t xml:space="preserve">2. Antecedentes</w:t>
      </w:r>
    </w:p>
    <w:p w:rsidR="00000000" w:rsidDel="00000000" w:rsidP="00000000" w:rsidRDefault="00000000" w:rsidRPr="00000000" w14:paraId="00000007">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jgqxzkca4k2f" w:id="6"/>
      <w:bookmarkEnd w:id="6"/>
      <w:r w:rsidDel="00000000" w:rsidR="00000000" w:rsidRPr="00000000">
        <w:rPr>
          <w:rFonts w:ascii="Times New Roman" w:cs="Times New Roman" w:eastAsia="Times New Roman" w:hAnsi="Times New Roman"/>
          <w:b w:val="1"/>
          <w:bCs w:val="1"/>
          <w:color w:val="000000"/>
          <w:sz w:val="26"/>
          <w:szCs w:val="26"/>
          <w:rtl w:val="0"/>
        </w:rPr>
        <w:t xml:space="preserve">2.1. Desigualdades espaciales y socioeconómicas en la respuesta de los servicios médicos de emergencia</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médicos de emergencia (Emergency Medical Services, EMS) son un componente crítico de los sistemas de atención sanitaria debido a que la efectividad de la atención prehospitalaria depende mucho de la capacidad de movilizar recursos clínicos hacia los incidentes a tiempo. Esta dependencia es relevante en condiciones que dependen del tiempo, como el paro cardíaco extrahospitalario, los traumatismos graves y determinados eventos cerebrovasculares. Es por eso que el tiempo de respuesta es importante para evaluar el desempeño de los EMS. Sin embargo, la evidencia disponible demuestra que este desempeño no se distribuye homogéneamente entre territorios ni grupos socioeconómicos.</w:t>
      </w:r>
      <w:r w:rsidDel="00000000" w:rsidR="00000000" w:rsidRPr="00000000">
        <w:rPr>
          <w:rtl w:val="0"/>
        </w:rPr>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estudio nacional realizado por </w:t>
      </w:r>
      <w:hyperlink r:id="rId12">
        <w:r w:rsidDel="00000000" w:rsidR="00000000" w:rsidRPr="00000000">
          <w:rPr>
            <w:rFonts w:ascii="Times New Roman" w:cs="Times New Roman" w:eastAsia="Times New Roman" w:hAnsi="Times New Roman"/>
            <w:rtl w:val="0"/>
          </w:rPr>
          <w:t xml:space="preserve">(Hsia et al., 2018)</w:t>
        </w:r>
      </w:hyperlink>
      <w:r w:rsidDel="00000000" w:rsidR="00000000" w:rsidRPr="00000000">
        <w:rPr>
          <w:rFonts w:ascii="Times New Roman" w:cs="Times New Roman" w:eastAsia="Times New Roman" w:hAnsi="Times New Roman"/>
          <w:rtl w:val="0"/>
        </w:rPr>
        <w:t xml:space="preserve">, utilizando registros del National Emergency Medical Services Information System (NEMSIS) correspondientes a 63 600 pacientes con paro cardíaco extrahospitalario, identificó diferencias sistemáticas asociadas al nivel de ingreso del área de residencia. El tiempo total de EMS fue de 43.0 minutos en las zonas de menor ingreso frente a 37.5 minutos en las de mayor ingreso y, después del ajuste estadístico, los tiempos permanecieron aproximadamente un 10% más elevados en las comunidades de menores ingresos. Asimismo, las respuestas realizadas en áreas de mayores ingresos presentaron una mayor probabilidad de cumplir umbrales operativos de 8 y 15 minutos. Esto significa que las características socioeconomicas influyen en el acceso al sistema prehospitalario</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más reciente confirma la persistencia del problema. </w:t>
      </w:r>
      <w:hyperlink r:id="rId13">
        <w:r w:rsidDel="00000000" w:rsidR="00000000" w:rsidRPr="00000000">
          <w:rPr>
            <w:rFonts w:ascii="Times New Roman" w:cs="Times New Roman" w:eastAsia="Times New Roman" w:hAnsi="Times New Roman"/>
            <w:rtl w:val="0"/>
          </w:rPr>
          <w:t xml:space="preserve">(Verma et al., 2023)</w:t>
        </w:r>
      </w:hyperlink>
      <w:r w:rsidDel="00000000" w:rsidR="00000000" w:rsidRPr="00000000">
        <w:rPr>
          <w:rFonts w:ascii="Times New Roman" w:cs="Times New Roman" w:eastAsia="Times New Roman" w:hAnsi="Times New Roman"/>
          <w:rtl w:val="0"/>
        </w:rPr>
        <w:t xml:space="preserve"> analizaron 18 540 personas involucradas en accidentes vehiculares fatales en Estados Unidos y encontraron que los condados con ingresos familiares más altos tenían tiempos de llegada del EMS alrededor de un 12% más cortos que los de los condados con menos ingresos. Además, notaron que la disponibilidad de centros de trauma y el hecho de ser rural alteraban los periodos de atención. Estos hallazgos muestran que la desigualdad en la respuesta de emergencia es multidimensional: la distribución de las ambulancias interactúa con la estructura vial, la disponibilidad hospitalaria, las características demográficas y las condiciones socioeconómicas del territorio.</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evidencia ha sido analizada en síntesis recientes de gran amplitud. Utilizando un examen y un análisis temático fundamentados en Latent Dirichlet Allocation, </w:t>
      </w:r>
      <w:hyperlink r:id="rId14">
        <w:r w:rsidDel="00000000" w:rsidR="00000000" w:rsidRPr="00000000">
          <w:rPr>
            <w:rFonts w:ascii="Times New Roman" w:cs="Times New Roman" w:eastAsia="Times New Roman" w:hAnsi="Times New Roman"/>
            <w:rtl w:val="0"/>
          </w:rPr>
          <w:t xml:space="preserve">(Soltani et al., 2026)</w:t>
        </w:r>
      </w:hyperlink>
      <w:r w:rsidDel="00000000" w:rsidR="00000000" w:rsidRPr="00000000">
        <w:rPr>
          <w:rFonts w:ascii="Times New Roman" w:cs="Times New Roman" w:eastAsia="Times New Roman" w:hAnsi="Times New Roman"/>
          <w:rtl w:val="0"/>
        </w:rPr>
        <w:t xml:space="preserve"> encontraron áreas vinculadas a la localización de ambulancias, tasa de mortalidad, tácticas de despliegue, disparidades socioeconómicas y geográficas, así como servicios especializados. Esta síntesis considera la accesibilidad territorial como uno de los elementos importantes en la planificación EMS, pero no se puede atribuir al sistema de simulación de este estudio beneficios clínicos.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óptica de planificación, estos hallazgos ponen en tela de juicio los enfoques que analizan únicamente el rendimiento global del sistema. Una disminución en el tiempo promedio de respuesta de una ciudad no necesariamente significa una mejora equitativa si ciertos barrios siguen enfrentando tiempos consistentemente más altos. Por lo tanto, el desafío en la asignación de recursos del EMS se puede entender como un problema simultáneo de eficiencia y equidad territorial, donde la optimización general debe ir acompañada de métricas que sean capaces de identificar diferencias sistemáticas entre diversos grupos territoriales.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explicación cuenta con el apoyo de investigaciones recientes sobre optimización. </w:t>
      </w:r>
      <w:hyperlink r:id="rId15">
        <w:r w:rsidDel="00000000" w:rsidR="00000000" w:rsidRPr="00000000">
          <w:rPr>
            <w:rFonts w:ascii="Times New Roman" w:cs="Times New Roman" w:eastAsia="Times New Roman" w:hAnsi="Times New Roman"/>
            <w:rtl w:val="0"/>
          </w:rPr>
          <w:t xml:space="preserve">(Gago-Carro et al., 2024)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por ejemplo, desarrollaron un modelo estocástico para la ubicación y reubicación de ambulancias que considera de manera clara los criterios de cobertura justa. Su implementación en el sistema de emergencias del País Vasco evidenció la posibilidad de aumentar considerablemente la cobertura en áreas rurales y remotas, asumiendo una reducción bastante limitada en el rendimiento total. Esto muestra que la eficiencia y la equidad no son objetivos necesariamente opuestos, aunque la equidad debe ser incluida de forma clara en la función de decisión para prevenir que las soluciones que son matemáticamente óptimas acumulen recursos en regiones de alta demanda. </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investigación de operaciones, se ha empezado a implementar la equidad a través de mecanismos claros para distribuir los recursos. </w:t>
      </w:r>
      <w:hyperlink r:id="rId16">
        <w:r w:rsidDel="00000000" w:rsidR="00000000" w:rsidRPr="00000000">
          <w:rPr>
            <w:rFonts w:ascii="Times New Roman" w:cs="Times New Roman" w:eastAsia="Times New Roman" w:hAnsi="Times New Roman"/>
            <w:rtl w:val="0"/>
          </w:rPr>
          <w:t xml:space="preserve">(Jagtenberg &amp; Mason,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evidenciaron que los mecanismos de reparto temporal (time sharing), que permiten que las ambulancias roten entre regiones, tienen el potencial de incrementar significativamente la equidad territorial, aunque a costa de una disminución limitada en la cobertura general. Este hallazgo complementa los modelos estocásticos de cobertura equitativa y demuestra que hay procedimientos realizables para convertir el principio normativo de equidad en decisiones operativas específicas.</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estudio, estos antecedentes justifican complementar los indicadores globales con diferencias entre boroughs. El dataset no contiene ingresos ni quintiles socioeconómicos: la evaluación es territorial descriptiva, no una medición de inequidad socioeconómica ni una demostración de su reducción.</w:t>
      </w:r>
    </w:p>
    <w:p w:rsidR="00000000" w:rsidDel="00000000" w:rsidP="00000000" w:rsidRDefault="00000000" w:rsidRPr="00000000" w14:paraId="00000010">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o13lgpa49ytk" w:id="7"/>
      <w:bookmarkEnd w:id="7"/>
      <w:r w:rsidDel="00000000" w:rsidR="00000000" w:rsidRPr="00000000">
        <w:rPr>
          <w:rFonts w:ascii="Times New Roman" w:cs="Times New Roman" w:eastAsia="Times New Roman" w:hAnsi="Times New Roman"/>
          <w:b w:val="1"/>
          <w:bCs w:val="1"/>
          <w:color w:val="000000"/>
          <w:sz w:val="26"/>
          <w:szCs w:val="26"/>
          <w:rtl w:val="0"/>
        </w:rPr>
        <w:t xml:space="preserve">2.2. Predicción espacio-temporal de la demanda EMS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causas fundamentales de la ineficiencia de los esquemas estáticos de despacho es que la demanda de EMS no permanece constante en el espacio ni en el tiempo. El volumen y la ubicación de las llamadas cambian en función de la hora del día, día de la semana, densidad poblacional, movilidad urbana, eventos masivos, condiciones meteorológicas y otros determinantes contextuales. Por esta razón, mantener las ambulancias exclusivamente en bases predefinidas y reaccionar después de recibir una llamada puede generar áreas temporalmente desprotegidas.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sobre predicción de demanda ha comenzado a abordar este problema mediante métodos estadísticos y de aprendizaje automático. </w:t>
      </w:r>
      <w:hyperlink r:id="rId17">
        <w:r w:rsidDel="00000000" w:rsidR="00000000" w:rsidRPr="00000000">
          <w:rPr>
            <w:rFonts w:ascii="Times New Roman" w:cs="Times New Roman" w:eastAsia="Times New Roman" w:hAnsi="Times New Roman"/>
            <w:rtl w:val="0"/>
          </w:rPr>
          <w:t xml:space="preserve">(Monks et al., 2023)</w:t>
        </w:r>
      </w:hyperlink>
      <w:r w:rsidDel="00000000" w:rsidR="00000000" w:rsidRPr="00000000">
        <w:rPr>
          <w:rFonts w:ascii="Times New Roman" w:cs="Times New Roman" w:eastAsia="Times New Roman" w:hAnsi="Times New Roman"/>
          <w:rtl w:val="0"/>
        </w:rPr>
        <w:t xml:space="preserve"> compararon métodos de pronóstico diario de llamadas que requieren ambulancias y realizaron validación externa en servicios de Inglaterra y Gales. Este antecedente respalda el uso de referencias sencillas, separación temporal de datos y evaluación fuera de entrenamiento; su horizonte diario no equivale al horizonte horario del presente estudio.</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recientemente, </w:t>
      </w:r>
      <w:hyperlink r:id="rId18">
        <w:r w:rsidDel="00000000" w:rsidR="00000000" w:rsidRPr="00000000">
          <w:rPr>
            <w:rFonts w:ascii="Times New Roman" w:cs="Times New Roman" w:eastAsia="Times New Roman" w:hAnsi="Times New Roman"/>
            <w:rtl w:val="0"/>
          </w:rPr>
          <w:t xml:space="preserve">(Shahidian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compararon nueve algoritmos de aprendizaje automático para pronosticar demanda EMS a corto plazo. Los métodos basados en boosting, particularmente Gradient Boosting y AdaBoost, presentaron los mejores resultados y demostraron capacidad para anticipar tanto el volumen horario de llamadas por distrito como el número esperado de despachos desde diferentes bases. Los autores subrayan que estos modelos son capaces de integrarse de manera directa con sistemas de programación, localización y reubicación de vehículos.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tl w:val="0"/>
          </w:rPr>
          <w:t xml:space="preserve">(Martin et al., 2021)</w:t>
        </w:r>
      </w:hyperlink>
      <w:r w:rsidDel="00000000" w:rsidR="00000000" w:rsidRPr="00000000">
        <w:rPr>
          <w:rFonts w:ascii="Times New Roman" w:cs="Times New Roman" w:eastAsia="Times New Roman" w:hAnsi="Times New Roman"/>
          <w:rtl w:val="0"/>
        </w:rPr>
        <w:t xml:space="preserve"> se propusieron anticipar la demanda horaria de llamadas para EMS, utilizando clústeres generados mediante K-Mens, y llevaron a cabo una comparación entre el modelo de red neuronal multicapa (MLP) y enfoques tradicionales de series temporales (como el suavizamiento exponencial y ARIMA), además de un método de referencia utilizado en la industria. Los investigadores hallaron que el modelo MLP superaba de manera consistente los métodos de referencia, especialmente en niveles de granularidad espacial más elevados, lo que refuerza la noción de comparar modelos predictivos con referencias simples antes de adoptar una arquitectura más compleja.</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América Latina, un estudio reciente de </w:t>
      </w:r>
      <w:hyperlink r:id="rId20">
        <w:r w:rsidDel="00000000" w:rsidR="00000000" w:rsidRPr="00000000">
          <w:rPr>
            <w:rFonts w:ascii="Times New Roman" w:cs="Times New Roman" w:eastAsia="Times New Roman" w:hAnsi="Times New Roman"/>
            <w:rtl w:val="0"/>
          </w:rPr>
          <w:t xml:space="preserve">(Neira-Rodado et al., 2025)</w:t>
        </w:r>
      </w:hyperlink>
      <w:r w:rsidDel="00000000" w:rsidR="00000000" w:rsidRPr="00000000">
        <w:rPr>
          <w:rFonts w:ascii="Times New Roman" w:cs="Times New Roman" w:eastAsia="Times New Roman" w:hAnsi="Times New Roman"/>
          <w:rtl w:val="0"/>
        </w:rPr>
        <w:t xml:space="preserve"> reveló que los modelos de boosting son efectivos en ciudades intermedias. En Barranquilla, Colombia, combinaron técnicas de aprendizaje automático con análisis de señales y estadísticas para predecir el lugar y el momento de las emergencias. Segmentaron la ciudad en áreas y entrenaron un modelo XGBoost utilizando series temporales; este modelo demostró tener un rendimiento superior al de Random Forest, logrando aumentar la precisión hasta en un 26. 9% en ciertas áreas y un 16. 4% de promedio. Además, el enfoque mostró ser provechoso incluso con un número reducido de datos en algunas particiones. Los autores resaltan que esta mejora puede ser útil para decidir la ubicación, reubicación o despacho de ambulancias, lo que apoya la evaluación de modelos predictivos en comparación con referencias, sin asumir previamente que XGBoost es el algoritmo más adecuado para otros contextos.</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estudios marcan un cambio significativo de la gestión reactiva a una administración proactiva del sistema EMS. No obstante, la predicción por sí misma no determina qué ambulancia debe desplazarse, hacia dónde debe hacerlo ni cómo debe modificarse la distribución de recursos para reducir simultáneamente el tiempo de respuesta y las desigualdades territoriales. Por lo tanto, el valor práctico de la predicción se basa en su combinación con una segunda capa de decisiones que puede transformar las proyecciones de demanda futura en acciones específicas. Este tránsito desde el análisis predictivo hacia la recomendación de acciones operativas se conoce como analítica prescriptiva y resulta especialmente relevante en sistemas donde los recursos son limitados y las decisiones deben actualizarse continuamente </w:t>
      </w:r>
      <w:hyperlink r:id="rId21">
        <w:r w:rsidDel="00000000" w:rsidR="00000000" w:rsidRPr="00000000">
          <w:rPr>
            <w:rFonts w:ascii="Times New Roman" w:cs="Times New Roman" w:eastAsia="Times New Roman" w:hAnsi="Times New Roman"/>
            <w:rtl w:val="0"/>
          </w:rPr>
          <w:t xml:space="preserve">(Bertsimas &amp; Kallus, 2020)</w:t>
        </w:r>
      </w:hyperlink>
      <w:r w:rsidDel="00000000" w:rsidR="00000000" w:rsidRPr="00000000">
        <w:rPr>
          <w:rFonts w:ascii="Times New Roman" w:cs="Times New Roman" w:eastAsia="Times New Roman" w:hAnsi="Times New Roman"/>
          <w:rtl w:val="0"/>
        </w:rPr>
        <w:t xml:space="preserve">. En este estudio esa capa utiliza reglas heurísticas de despacho y relocalización, no un solucionador de optimización exacta.</w:t>
      </w:r>
      <w:r w:rsidDel="00000000" w:rsidR="00000000" w:rsidRPr="00000000">
        <w:rPr>
          <w:rtl w:val="0"/>
        </w:rPr>
      </w:r>
    </w:p>
    <w:p w:rsidR="00000000" w:rsidDel="00000000" w:rsidP="00000000" w:rsidRDefault="00000000" w:rsidRPr="00000000" w14:paraId="00000017">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pqc6mwwl76zl" w:id="8"/>
      <w:bookmarkEnd w:id="8"/>
      <w:r w:rsidDel="00000000" w:rsidR="00000000" w:rsidRPr="00000000">
        <w:rPr>
          <w:rFonts w:ascii="Times New Roman" w:cs="Times New Roman" w:eastAsia="Times New Roman" w:hAnsi="Times New Roman"/>
          <w:b w:val="1"/>
          <w:bCs w:val="1"/>
          <w:color w:val="000000"/>
          <w:sz w:val="26"/>
          <w:szCs w:val="26"/>
          <w:rtl w:val="0"/>
        </w:rPr>
        <w:t xml:space="preserve">2.3. Relocalización dinámica y optimización de ambulancias</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relocalización dinámica consiste en modificar temporalmente la ubicación de las ambulancias disponibles con la finalidad de mantener o mejorar la cobertura ante cambios en el estado del sistema. </w:t>
      </w:r>
      <w:hyperlink r:id="rId22">
        <w:r w:rsidDel="00000000" w:rsidR="00000000" w:rsidRPr="00000000">
          <w:rPr>
            <w:rFonts w:ascii="Times New Roman" w:cs="Times New Roman" w:eastAsia="Times New Roman" w:hAnsi="Times New Roman"/>
            <w:rtl w:val="0"/>
          </w:rPr>
          <w:t xml:space="preserve">(Becker et al., 2023)</w:t>
        </w:r>
      </w:hyperlink>
      <w:r w:rsidDel="00000000" w:rsidR="00000000" w:rsidRPr="00000000">
        <w:rPr>
          <w:rFonts w:ascii="Times New Roman" w:cs="Times New Roman" w:eastAsia="Times New Roman" w:hAnsi="Times New Roman"/>
          <w:rtl w:val="0"/>
        </w:rPr>
        <w:t xml:space="preserve">, en una revisión de alcance que incluyó 21 investigaciones, identificaron un creciente desarrollo de modelos matemáticos para decidir la posición temporal de las ambulancias utilizando variables como demanda estimada, localización hospitalaria, distancia, condiciones geográficas y disponibilidad operativa. Revisiones complementarias han documentado específicamente los modelos de despliegue y relocalización de ambulancias, identificando enfoques basados en programación matemática, heurísticas y simulación-optimización </w:t>
      </w:r>
      <w:hyperlink r:id="rId23">
        <w:r w:rsidDel="00000000" w:rsidR="00000000" w:rsidRPr="00000000">
          <w:rPr>
            <w:rFonts w:ascii="Times New Roman" w:cs="Times New Roman" w:eastAsia="Times New Roman" w:hAnsi="Times New Roman"/>
            <w:rtl w:val="0"/>
          </w:rPr>
          <w:t xml:space="preserve">(Aboueljinane et al., 2013)</w:t>
        </w:r>
      </w:hyperlink>
      <w:r w:rsidDel="00000000" w:rsidR="00000000" w:rsidRPr="00000000">
        <w:rPr>
          <w:rFonts w:ascii="Times New Roman" w:cs="Times New Roman" w:eastAsia="Times New Roman" w:hAnsi="Times New Roman"/>
          <w:rtl w:val="0"/>
        </w:rPr>
        <w:t xml:space="preserve">. Sin embargo, la revisión encontró una limitación particularmente importante: prácticamente todos los trabajos habían sido evaluados mediante simulaciones y solo uno había realizado una evaluación prospectiva en condiciones reales.</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rtl w:val="0"/>
          </w:rPr>
          <w:t xml:space="preserve">(Gendreau et al., 2001)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aportaron a los fundamentos de la reubicación en tiempo real: presentaron un modelo dinámico que determina la manera de redistribuir la flota de acuerdo con el estado actual del sistema. Esta línea de investigación ha dado lugar a herramientas de apoyo a decisiones que combinan despacho y relocalización en tiempo real, permitiendo a los operadores evaluar múltiples escenarios de redistribución de la flota </w:t>
      </w:r>
      <w:hyperlink r:id="rId25">
        <w:r w:rsidDel="00000000" w:rsidR="00000000" w:rsidRPr="00000000">
          <w:rPr>
            <w:rFonts w:ascii="Times New Roman" w:cs="Times New Roman" w:eastAsia="Times New Roman" w:hAnsi="Times New Roman"/>
            <w:rtl w:val="0"/>
          </w:rPr>
          <w:t xml:space="preserve">(Andersson &amp; Värbrand, 2007)</w:t>
        </w:r>
      </w:hyperlink>
      <w:r w:rsidDel="00000000" w:rsidR="00000000" w:rsidRPr="00000000">
        <w:rPr>
          <w:rFonts w:ascii="Times New Roman" w:cs="Times New Roman" w:eastAsia="Times New Roman" w:hAnsi="Times New Roman"/>
          <w:rtl w:val="0"/>
        </w:rPr>
        <w:t xml:space="preserve">. Su enfoque, fundamentado en una heurística de búsqueda tabú paralela que anticipa diversos escenarios de reubicación entre llamadas, demostró a través de experimentos computacionales con datos reales de Montreal la viabilidad de determinar estrategias de redespliegue. Asimismo, esta labor estableció una diferencia operativa clave: asignar qué ambulancia responde a cada llamada es diferente que determinar la ubicación de las ambulancias disponibles. Esa distinción entre asignación y redespliegue es la que organiza el actual marco de despacho predictivo.</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Diferentes enfoques de investigación operativa han demostrado que la reubicación puede optimizar el rendimiento del sistema. Los modelos comprenden programación lineal entera, programación estocástica, heurísticas, optimización multiobjetivo y simulación-optimización. Por ejemplo, los modelos que utilizan análisis de isócronas han demostrado la habilidad de redistribuir ambulancias en situaciones de saturación del sistema, mientras que otros métodos incluyen de manera explícita las variaciones temporales de tráfico y demanda.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fundamentada en datos de servicios reales abarca investigaciones en Singapur, aunque no todas se refieren a intervenciones operativas. Por un lado, </w:t>
      </w:r>
      <w:hyperlink r:id="rId26">
        <w:r w:rsidDel="00000000" w:rsidR="00000000" w:rsidRPr="00000000">
          <w:rPr>
            <w:rFonts w:ascii="Times New Roman" w:cs="Times New Roman" w:eastAsia="Times New Roman" w:hAnsi="Times New Roman"/>
            <w:rtl w:val="0"/>
          </w:rPr>
          <w:t xml:space="preserve">(Ong et al., 2010)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consiguieron disminuir los tiempos de respuesta al examinar el despliegue de ambulancias desde un enfoque geoespacial y temporal. En cambio, </w:t>
      </w:r>
      <w:hyperlink r:id="rId27">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examinaron, a través de simulación de eventos discretos, estrategias dinámicas de ajuste fundamentadas en la gestión del estado del sistema (System Status Management). Con esos planes, basados en programación matemática, consiguieron bajar la mediana de los tiempos de respuesta en aproximadamente 44 segundos frente a una política estática.</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descubrimiento especialmente significativo para la práctica fue que los beneficios se sostenían incluso al realizar únicamente el 60% de los movimientos de relocalización sugeridos. Este resultado simulado indica que algunas políticas dinámicas pueden preservar beneficios ante el cumplimiento parcial por parte de los despachadores, lo cual es sumamente importante en la operación real, donde no siempre se puede seguir todas las recomendaciones al pie de la letra.</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rtl w:val="0"/>
          </w:rPr>
          <w:t xml:space="preserve">(Essus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realizaron una optimización en tiempo real al combinar un modelo de toma de decisiones con una simulación de eventos discretos de alta resolución geográfica para la localidad de Nueva York. En lugar de centrarse únicamente en la cobertura, añadieron aspectos relacionados con la supervivencia y la distribución equilibrada de las ambulancias. El análisis se centró en la respuesta inmediata ante situaciones de emergencia críticas y la carga de trabajo dentro del entorno simulado. La investigación resalta la necesidad de vincular de manera continua el estado simulado del sistema con decisiones sobre el traslado. Sin embargo, estas técnicas deben ser entendidas conforme al proceso que se está modelando, la información accesible y las condiciones de los experimentos. La relación entre pronósticos, decisiones y simulación no asegura necesariamente una mejora: es esencial evaluar si la previsión resulta útil para la política y cómo se distribuye su efectividad en el territorio. Esta es la comparación que se examina en el presente estudio, sin incluir funciones de supervivencia ni suponer resultados operativos reales.</w:t>
      </w:r>
      <w:r w:rsidDel="00000000" w:rsidR="00000000" w:rsidRPr="00000000">
        <w:rPr>
          <w:rtl w:val="0"/>
        </w:rPr>
      </w:r>
    </w:p>
    <w:p w:rsidR="00000000" w:rsidDel="00000000" w:rsidP="00000000" w:rsidRDefault="00000000" w:rsidRPr="00000000" w14:paraId="0000001E">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7p6o5yecmczv" w:id="9"/>
      <w:bookmarkEnd w:id="9"/>
      <w:r w:rsidDel="00000000" w:rsidR="00000000" w:rsidRPr="00000000">
        <w:rPr>
          <w:rFonts w:ascii="Times New Roman" w:cs="Times New Roman" w:eastAsia="Times New Roman" w:hAnsi="Times New Roman"/>
          <w:b w:val="1"/>
          <w:bCs w:val="1"/>
          <w:color w:val="000000"/>
          <w:sz w:val="26"/>
          <w:szCs w:val="26"/>
          <w:rtl w:val="0"/>
        </w:rPr>
        <w:t xml:space="preserve">2.4. Gemelos digitales en transporte, ciudades y respuesta a emergencias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 Digital Twin proporciona una estructura que puede unir estos elementos dentro de una representación dinámica del sistema físico. Este concepto ha sido formalizado en la literatura como una representación computacional conectada a un sistema físico, capaz de integrar datos, modelos y mecanismos de análisis para evaluar diferentes estados y decisiones </w:t>
      </w:r>
      <w:hyperlink r:id="rId29">
        <w:r w:rsidDel="00000000" w:rsidR="00000000" w:rsidRPr="00000000">
          <w:rPr>
            <w:rFonts w:ascii="Times New Roman" w:cs="Times New Roman" w:eastAsia="Times New Roman" w:hAnsi="Times New Roman"/>
            <w:rtl w:val="0"/>
          </w:rPr>
          <w:t xml:space="preserve">(Batty, 2018)</w:t>
        </w:r>
      </w:hyperlink>
      <w:r w:rsidDel="00000000" w:rsidR="00000000" w:rsidRPr="00000000">
        <w:rPr>
          <w:rFonts w:ascii="Times New Roman" w:cs="Times New Roman" w:eastAsia="Times New Roman" w:hAnsi="Times New Roman"/>
          <w:rtl w:val="0"/>
        </w:rPr>
        <w:t xml:space="preserve">. A diferencia de un modelo de simulación estático, un gemelo digital se distingue por conservar una representación computacional actualizable del objeto, proceso o sistema físico a través de flujos de información, lo que permite supervisar estados, examinar condiciones, anticipar comportamientos y valorar decisiones antes de implementarlas.</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rtl w:val="0"/>
          </w:rPr>
          <w:t xml:space="preserve">(Petri et al., 2023)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argumentan que un Digital Twin debe reflejar no solo la geometría del sistema físico, sino también sus elementos, interacciones y comportamiento dinámico, para poder analizar estrategias de respuesta ante condiciones variables. A pesar de que su aplicación tiene lugar en la infraestructura y el entorno construido, este principio puede trasladarse directamente a un sistema EMS, donde ambulancias, estaciones, hospitales, red vial, tráfico, clima y demanda constituyen un sistema dinámico cuyas interacciones influyen en el rendimiento global.</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hyperlink r:id="rId31">
        <w:r w:rsidDel="00000000" w:rsidR="00000000" w:rsidRPr="00000000">
          <w:rPr>
            <w:rFonts w:ascii="Times New Roman" w:cs="Times New Roman" w:eastAsia="Times New Roman" w:hAnsi="Times New Roman"/>
            <w:rtl w:val="0"/>
          </w:rPr>
          <w:t xml:space="preserve">(Chen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 el sector de la salud, los sistemas de gemelos digitales se organizan en torno a cinco elementos: obtención de datos, comunicación, procesamiento, administración de datos y análisis/toma de decisiones. Esta arquitectura se alinea con revisiones más amplias que identifican las tecnologías habilitadoras, los desafíos de interoperabilidad y las áreas de investigación abierta en el desarrollo de gemelos digitales </w:t>
      </w:r>
      <w:hyperlink r:id="rId32">
        <w:r w:rsidDel="00000000" w:rsidR="00000000" w:rsidRPr="00000000">
          <w:rPr>
            <w:rFonts w:ascii="Times New Roman" w:cs="Times New Roman" w:eastAsia="Times New Roman" w:hAnsi="Times New Roman"/>
            <w:rtl w:val="0"/>
          </w:rPr>
          <w:t xml:space="preserve">(Fuller et al., 2020)</w:t>
        </w:r>
      </w:hyperlink>
      <w:r w:rsidDel="00000000" w:rsidR="00000000" w:rsidRPr="00000000">
        <w:rPr>
          <w:rFonts w:ascii="Times New Roman" w:cs="Times New Roman" w:eastAsia="Times New Roman" w:hAnsi="Times New Roman"/>
          <w:rtl w:val="0"/>
        </w:rPr>
        <w:t xml:space="preserve">. Esta estructura es especialmente relevante para un EMS Digital Twin, ya que crea un vínculo desde la observación del sistema real hasta la implementación de acciones a través de modelos analíticos. Asimismo, los autores enfatizan que la relevancia del gemelo no se encuentra solamente en replicar la realidad, sino en prever estados futuros y mejorar decisiones.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urbano, </w:t>
      </w:r>
      <w:hyperlink r:id="rId33">
        <w:r w:rsidDel="00000000" w:rsidR="00000000" w:rsidRPr="00000000">
          <w:rPr>
            <w:rFonts w:ascii="Times New Roman" w:cs="Times New Roman" w:eastAsia="Times New Roman" w:hAnsi="Times New Roman"/>
            <w:rtl w:val="0"/>
          </w:rPr>
          <w:t xml:space="preserve">(Wolf et al., 2022)</w:t>
        </w:r>
      </w:hyperlink>
      <w:r w:rsidDel="00000000" w:rsidR="00000000" w:rsidRPr="00000000">
        <w:rPr>
          <w:rFonts w:ascii="Times New Roman" w:cs="Times New Roman" w:eastAsia="Times New Roman" w:hAnsi="Times New Roman"/>
          <w:rtl w:val="0"/>
        </w:rPr>
        <w:t xml:space="preserve"> crearon un prototipo de gemelo digital para facilitar la gestión de incidentes por múltiples agencias. El sistema combinó datos geoespaciales, ubicación de los respondedores, tráfico, condiciones climáticas, incidentes y rutas en una plataforma unificada. Los autores plantean, además, que el sistema debe mantener ciclos de retroalimentación mediante los cuales las nuevas observaciones actualicen continuamente el estado digital.</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rtl w:val="0"/>
          </w:rPr>
          <w:t xml:space="preserve">(Seong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extendieron este enfoque mediante FireCom, un Digital Twin urbano para monitorizar incendios y predecir propagación de humo en Austin, Texas. La plataforma integró incidentes, información meteorológica, sensores ambientales, infraestructura tridimensional y datos demográficos. El trabajo es relevante porque demuestra la factibilidad de fusionar fuentes con diferente resolución espacial y temporal dentro de una arquitectura de emergencia y utilizar posteriormente la representación integrada para realizar predicciones.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vehicular, </w:t>
      </w:r>
      <w:hyperlink r:id="rId35">
        <w:r w:rsidDel="00000000" w:rsidR="00000000" w:rsidRPr="00000000">
          <w:rPr>
            <w:rFonts w:ascii="Times New Roman" w:cs="Times New Roman" w:eastAsia="Times New Roman" w:hAnsi="Times New Roman"/>
            <w:rtl w:val="0"/>
          </w:rPr>
          <w:t xml:space="preserve">(Zia et al., 2026)</w:t>
        </w:r>
      </w:hyperlink>
      <w:r w:rsidDel="00000000" w:rsidR="00000000" w:rsidRPr="00000000">
        <w:rPr>
          <w:rFonts w:ascii="Times New Roman" w:cs="Times New Roman" w:eastAsia="Times New Roman" w:hAnsi="Times New Roman"/>
          <w:rtl w:val="0"/>
        </w:rPr>
        <w:t xml:space="preserve"> muestran que la comunicación y priorización de información entre Digital Twins adquiere especial importancia para vehículos de emergencia, debido a los requisitos estrictos de latencia. Su propuesta de comunicación inter-twin prioriza ambulancias, policía y bomberos frente a vehículos convencionales, proporcionando una base conceptual para redes de Digital Twins en las que determinadas entidades requieren actualizaciones y decisiones con mayor urgencia.</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arquitecturas se conservan como antecedentes de integración y comunicación, no como una enumeración de funciones del sistema estudiado. El alcance aquí es histórico y de simulación: no comprende sensores en tiempo real, control semafórico, pronóstico de humo, tráfico o clima observado, ni comunicación entre vehículos reales.</w:t>
      </w:r>
      <w:r w:rsidDel="00000000" w:rsidR="00000000" w:rsidRPr="00000000">
        <w:rPr>
          <w:rtl w:val="0"/>
        </w:rPr>
      </w:r>
    </w:p>
    <w:p w:rsidR="00000000" w:rsidDel="00000000" w:rsidP="00000000" w:rsidRDefault="00000000" w:rsidRPr="00000000" w14:paraId="00000026">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xph1fhrdpqog" w:id="10"/>
      <w:bookmarkEnd w:id="10"/>
      <w:r w:rsidDel="00000000" w:rsidR="00000000" w:rsidRPr="00000000">
        <w:rPr>
          <w:rFonts w:ascii="Times New Roman" w:cs="Times New Roman" w:eastAsia="Times New Roman" w:hAnsi="Times New Roman"/>
          <w:b w:val="1"/>
          <w:bCs w:val="1"/>
          <w:color w:val="000000"/>
          <w:sz w:val="26"/>
          <w:szCs w:val="26"/>
          <w:rtl w:val="0"/>
        </w:rPr>
        <w:t xml:space="preserve">2.5. Aplicaciones específicas de Digital Twins al EMS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trabajos específicamente orientados al transporte médico de emergencia han comenzado a mostrar el potencial operativo del paradigma. </w:t>
      </w:r>
      <w:hyperlink r:id="rId36">
        <w:r w:rsidDel="00000000" w:rsidR="00000000" w:rsidRPr="00000000">
          <w:rPr>
            <w:rFonts w:ascii="Times New Roman" w:cs="Times New Roman" w:eastAsia="Times New Roman" w:hAnsi="Times New Roman"/>
            <w:rtl w:val="0"/>
          </w:rPr>
          <w:t xml:space="preserve">(Roy et al., 2024)</w:t>
        </w:r>
      </w:hyperlink>
      <w:r w:rsidDel="00000000" w:rsidR="00000000" w:rsidRPr="00000000">
        <w:rPr>
          <w:rFonts w:ascii="Times New Roman" w:cs="Times New Roman" w:eastAsia="Times New Roman" w:hAnsi="Times New Roman"/>
          <w:rtl w:val="0"/>
        </w:rPr>
        <w:t xml:space="preserve"> utilizaron un entorno de Digital Twin de un corredor urbano para evaluar estrategias de Emergency Vehicle Preemption. A diferencia de los sistemas tradicionales que activan la señalización de prioridad al acercarse un vehículo a un cruce, su método Dynamic Preemption utiliza datos instantáneos para prever la llegada del automóvil. La evaluación se llevó a cabo en un entorno simulado con cruces controlados por semáforos; los hallazgos se refieren a la preempción de vehículos y no a la estrategia de gestión estudiada aquí.</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línea de investigación se centra en la sincronización entre la ambulancia real y su doble digital. </w:t>
      </w:r>
      <w:hyperlink r:id="rId37">
        <w:r w:rsidDel="00000000" w:rsidR="00000000" w:rsidRPr="00000000">
          <w:rPr>
            <w:rFonts w:ascii="Times New Roman" w:cs="Times New Roman" w:eastAsia="Times New Roman" w:hAnsi="Times New Roman"/>
            <w:rtl w:val="0"/>
          </w:rPr>
          <w:t xml:space="preserve">(Al-Shareeda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descubrieron que la transmisión y el análisis de datos generan retrasos que pueden causar discrepancias entre la posición real del vehículo y la representación en el Digital Twin. Utilizando modelos SVR y redes neuronales profundas para predecir la próxima ubicación, los investigadores informaron reducciones cercanas del 88–93% en el desfase de sincronización. Este antecedente es importante para una posible conexión a vehículos reales. En este estudio, las posiciones son de un escenario simulado y no se usa seguimiento por GPS.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conjunta de hospital y ruta representa un problema distinto del despacho zonal aquí analizado. El estado de la red y la capacidad del destino pueden modificar la alternativa de transporte, pero el dataset seleccionado no identifica destinos y disponibilidad hospitalaria suficientes para evaluar ese proceso. Por ello, la gestión hospitalaria no forma parte del alcance.</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organizativo, </w:t>
      </w:r>
      <w:hyperlink r:id="rId38">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implementaron un gemelo digital fundamentado en la simulación para analizar la estructura de los centros franceses de respuesta a emergencias. Al comparar la estructura territorial convencional con configuraciones en las que varios centros podían compartir llamadas, los escenarios de descompartimentalización incrementaron entre 17% y 21% la calidad del servicio medida mediante la proporción de llamadas respondidas dentro de 30 segundos. Este estudio demuestra que un gemelo digital permite analizar cambios organizacionales complejos sin necesidad de intervenir directamente en un sistema operativo de emergencia. Los autores utilizan datos reales en el modelo, aunque no se realiza una sincronización en tiempo real, lo que establece un precedente para el enfoque histórico presentado en este artículo.</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w:t>
      </w:r>
      <w:hyperlink r:id="rId39">
        <w:r w:rsidDel="00000000" w:rsidR="00000000" w:rsidRPr="00000000">
          <w:rPr>
            <w:rFonts w:ascii="Times New Roman" w:cs="Times New Roman" w:eastAsia="Times New Roman" w:hAnsi="Times New Roman"/>
            <w:rtl w:val="0"/>
          </w:rPr>
          <w:t xml:space="preserve">(Li et al., 2025)</w:t>
        </w:r>
      </w:hyperlink>
      <w:r w:rsidDel="00000000" w:rsidR="00000000" w:rsidRPr="00000000">
        <w:rPr>
          <w:rFonts w:ascii="Times New Roman" w:cs="Times New Roman" w:eastAsia="Times New Roman" w:hAnsi="Times New Roman"/>
          <w:rtl w:val="0"/>
        </w:rPr>
        <w:t xml:space="preserve"> resumen las capacidades de los gemelos digitales en las etapas de atención previa al hospital, durante la hospitalización y en el proceso de recuperación. En el ámbito de la atención previa al hospital, señalan la mejora en la asignación de recursos, la anticipación de cambios en la demanda y la reducción de demoras gracias al intercambio de información en tiempo real. También subrayan los retos relacionados con la resolución de datos, la diversidad biológica y las cuestiones éticas. </w:t>
      </w:r>
      <w:r w:rsidDel="00000000" w:rsidR="00000000" w:rsidRPr="00000000">
        <w:rPr>
          <w:rtl w:val="0"/>
        </w:rPr>
      </w:r>
    </w:p>
    <w:p w:rsidR="00000000" w:rsidDel="00000000" w:rsidP="00000000" w:rsidRDefault="00000000" w:rsidRPr="00000000" w14:paraId="0000002D">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z9ymydm0yot" w:id="11"/>
      <w:bookmarkEnd w:id="11"/>
      <w:r w:rsidDel="00000000" w:rsidR="00000000" w:rsidRPr="00000000">
        <w:rPr>
          <w:rFonts w:ascii="Times New Roman" w:cs="Times New Roman" w:eastAsia="Times New Roman" w:hAnsi="Times New Roman"/>
          <w:b w:val="1"/>
          <w:bCs w:val="1"/>
          <w:color w:val="000000"/>
          <w:sz w:val="26"/>
          <w:szCs w:val="26"/>
          <w:rtl w:val="0"/>
        </w:rPr>
        <w:t xml:space="preserve">2.6. Síntesis crítica y vacío de conocimiento</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 la información previa permite reconocer cuatro direcciones de investigación que han crecido simultáneamente. La primera revela la presencia de desigualdades sociales y geográficas en el acceso temporal a los sistemas de emergencia médica. La segunda crea modelos de aprendizaje automático que pueden prever la necesidad de asistencia médica en diversas escalas de espacio y tiempo. La tercera emplea técnicas de investigación operativa y simulación para mejorar la ubicación y el reubicamiento de ambulancias. Por último, una cuarta dirección utiliza gemelos digitales en la movilidad inteligente, la respuesta ante situaciones de emergencia y la atención médica.</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estas cuatro áreas no abordan por sí solas la cuestión de si una mejor capacidad predictiva lleva a una mejora en el despacho en un escenario específico. Los estudios sobre equidad explican las desigualdades presentes; los modelos predictivos pronostican la demanda; los modelos para reubicar ambulancias consideran tiempos, cobertura o carga laboral; y los gemelos digitales combinan información y permiten examinar diferentes alternativas. Su conexión requiere distinguir entre la calidad del pronóstico, el rendimiento simulado y la distribución geográfica de los resultados.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falta de conocimiento que este estudio trata no se debe a la falta de gemelos digitales para situaciones de emergencia ni a la carencia de modelos para reubicar ambulancias. Se concreta en evaluar, para el caso histórico seleccionado, cómo se relaciona la predicción horaria de demanda con el desempeño de una política de despacho y relocalización, bajo los mismos incidentes y recursos. Esta delimitación sustenta un EMS Digital Twin basado en simulación que compara respuesta, cobertura y diferencias territoriales, sin pretender reproducir toda la red operativa ni demostrar efectos socioeconómicos o clínicos.</w:t>
      </w:r>
      <w:r w:rsidDel="00000000" w:rsidR="00000000" w:rsidRPr="00000000">
        <w:rPr>
          <w:rtl w:val="0"/>
        </w:rPr>
      </w:r>
    </w:p>
    <w:p w:rsidR="00000000" w:rsidDel="00000000" w:rsidP="00000000" w:rsidRDefault="00000000" w:rsidRPr="00000000" w14:paraId="00000031">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ynk2fx40lv6z" w:id="12"/>
      <w:bookmarkEnd w:id="12"/>
      <w:r w:rsidDel="00000000" w:rsidR="00000000" w:rsidRPr="00000000">
        <w:rPr>
          <w:rFonts w:ascii="Times New Roman" w:cs="Times New Roman" w:eastAsia="Times New Roman" w:hAnsi="Times New Roman"/>
          <w:b w:val="1"/>
          <w:bCs w:val="1"/>
          <w:color w:val="000000"/>
          <w:sz w:val="26"/>
          <w:szCs w:val="26"/>
          <w:rtl w:val="0"/>
        </w:rPr>
        <w:t xml:space="preserve">2.7. Aprendizaje por refuerzo para el despacho y la relocalización inteligente</w:t>
      </w:r>
    </w:p>
    <w:p w:rsidR="00000000" w:rsidDel="00000000" w:rsidP="00000000" w:rsidRDefault="00000000" w:rsidRPr="00000000" w14:paraId="0000003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línea más reciente de investigación está reemplazando las reglas fijas de despacho por políticas que el propio sistema aprende. </w:t>
      </w:r>
      <w:hyperlink r:id="rId40">
        <w:r w:rsidDel="00000000" w:rsidR="00000000" w:rsidRPr="00000000">
          <w:rPr>
            <w:rFonts w:ascii="Times New Roman" w:cs="Times New Roman" w:eastAsia="Times New Roman" w:hAnsi="Times New Roman"/>
            <w:rtl w:val="0"/>
          </w:rPr>
          <w:t xml:space="preserve">(Liu et al.,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plantearon el despacho de ambulancias como un proceso de decisión de Markov multiagente y propusieron un método llamado MAQR, que aprende qué ambulancia conviene asignar a cada llamada según el estado cambiante del sistema. En escenarios donde la demanda varía rápidamente, este enfoque superó a los protocolos tradicionales. Su interés conceptual es representar consecuencias secuenciales de las decisiones. En este artículo se conserva como enfoque relacionado: el sistema utiliza pronóstico supervisado y reglas heurísticas, no entrenamiento de agentes por refuerzo ni una recompensa de equidad.</w:t>
      </w:r>
    </w:p>
    <w:p w:rsidR="00000000" w:rsidDel="00000000" w:rsidP="00000000" w:rsidRDefault="00000000" w:rsidRPr="00000000" w14:paraId="00000033">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6ipt8cber7nc" w:id="13"/>
      <w:bookmarkEnd w:id="13"/>
      <w:r w:rsidDel="00000000" w:rsidR="00000000" w:rsidRPr="00000000">
        <w:rPr>
          <w:rFonts w:ascii="Times New Roman" w:cs="Times New Roman" w:eastAsia="Times New Roman" w:hAnsi="Times New Roman"/>
          <w:b w:val="1"/>
          <w:bCs w:val="1"/>
          <w:sz w:val="34"/>
          <w:szCs w:val="34"/>
          <w:rtl w:val="0"/>
        </w:rPr>
        <w:t xml:space="preserve">3. Marco teórico</w:t>
      </w:r>
    </w:p>
    <w:p w:rsidR="00000000" w:rsidDel="00000000" w:rsidP="00000000" w:rsidRDefault="00000000" w:rsidRPr="00000000" w14:paraId="00000034">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ggpx8w969zpk" w:id="14"/>
      <w:bookmarkEnd w:id="14"/>
      <w:r w:rsidDel="00000000" w:rsidR="00000000" w:rsidRPr="00000000">
        <w:rPr>
          <w:rFonts w:ascii="Times New Roman" w:cs="Times New Roman" w:eastAsia="Times New Roman" w:hAnsi="Times New Roman"/>
          <w:b w:val="1"/>
          <w:bCs w:val="1"/>
          <w:color w:val="000000"/>
          <w:sz w:val="26"/>
          <w:szCs w:val="26"/>
          <w:rtl w:val="0"/>
        </w:rPr>
        <w:t xml:space="preserve">3.1. Digital Twin como modelo de simulación basado en datos históricos</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un Digital Twin se conceptualiza como una representación computacional dinámica de un sistema EMS por zonas que utiliza datos históricos para simular, predecir demanda y comparar decisiones de asignación. Esta conceptualización se sitúa en la categoría de gemelo digital basado en simulación, diferenciándose de modelos digitales estáticos o sombras digitales que carecen de retroalimentación bidireccional con el sistema físico </w:t>
      </w:r>
      <w:hyperlink r:id="rId41">
        <w:r w:rsidDel="00000000" w:rsidR="00000000" w:rsidRPr="00000000">
          <w:rPr>
            <w:rFonts w:ascii="Times New Roman" w:cs="Times New Roman" w:eastAsia="Times New Roman" w:hAnsi="Times New Roman"/>
            <w:rtl w:val="0"/>
          </w:rPr>
          <w:t xml:space="preserve">(Kritzinger et al., 2018)</w:t>
        </w:r>
      </w:hyperlink>
      <w:r w:rsidDel="00000000" w:rsidR="00000000" w:rsidRPr="00000000">
        <w:rPr>
          <w:rFonts w:ascii="Times New Roman" w:cs="Times New Roman" w:eastAsia="Times New Roman" w:hAnsi="Times New Roman"/>
          <w:rtl w:val="0"/>
        </w:rPr>
        <w:t xml:space="preserve">. Se adopta la modalidad basada en simulación, no la de un sistema ciberfísico sincronizado en tiempo real. Por tanto, su valor no se limita a una representación cartográfica estática, sino que reside en relacionar datos, evolución de estados y evaluación de políticas.</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Conceptualmente, el funcionamiento del gemelo puede representarse mediante la siguiente secuencia:</w:t>
      </w: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54830" cy="3367088"/>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05483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gemelo digital operativo conectado, las observaciones en tiempo real provenientes del mundo físico actualizan el estado del gemelo, y las acciones pueden modificar el servicio actual. Esta investigación utiliza registros históricos para configurar el escenario, de modo que las acciones solo alteran estados simulados. No se requiere seguimiento por GPS ni se implementan decisiones en una flota real. Los marcos propuestos por </w:t>
      </w:r>
      <w:hyperlink r:id="rId43">
        <w:r w:rsidDel="00000000" w:rsidR="00000000" w:rsidRPr="00000000">
          <w:rPr>
            <w:rFonts w:ascii="Times New Roman" w:cs="Times New Roman" w:eastAsia="Times New Roman" w:hAnsi="Times New Roman"/>
            <w:rtl w:val="0"/>
          </w:rPr>
          <w:t xml:space="preserve">(Chen et al., 2024)</w:t>
        </w:r>
      </w:hyperlink>
      <w:r w:rsidDel="00000000" w:rsidR="00000000" w:rsidRPr="00000000">
        <w:rPr>
          <w:rFonts w:ascii="Times New Roman" w:cs="Times New Roman" w:eastAsia="Times New Roman" w:hAnsi="Times New Roman"/>
          <w:rtl w:val="0"/>
        </w:rPr>
        <w:t xml:space="preserve">, </w:t>
      </w:r>
      <w:hyperlink r:id="rId44">
        <w:r w:rsidDel="00000000" w:rsidR="00000000" w:rsidRPr="00000000">
          <w:rPr>
            <w:rFonts w:ascii="Times New Roman" w:cs="Times New Roman" w:eastAsia="Times New Roman" w:hAnsi="Times New Roman"/>
            <w:rtl w:val="0"/>
          </w:rPr>
          <w:t xml:space="preserve">(Petri et al., 2023)</w:t>
        </w:r>
      </w:hyperlink>
      <w:r w:rsidDel="00000000" w:rsidR="00000000" w:rsidRPr="00000000">
        <w:rPr>
          <w:rFonts w:ascii="Times New Roman" w:cs="Times New Roman" w:eastAsia="Times New Roman" w:hAnsi="Times New Roman"/>
          <w:rtl w:val="0"/>
        </w:rPr>
        <w:t xml:space="preserve"> y </w:t>
      </w:r>
      <w:hyperlink r:id="rId45">
        <w:r w:rsidDel="00000000" w:rsidR="00000000" w:rsidRPr="00000000">
          <w:rPr>
            <w:rFonts w:ascii="Times New Roman" w:cs="Times New Roman" w:eastAsia="Times New Roman" w:hAnsi="Times New Roman"/>
            <w:rtl w:val="0"/>
          </w:rPr>
          <w:t xml:space="preserve">(Wolf et al., 2022)</w:t>
        </w:r>
      </w:hyperlink>
      <w:r w:rsidDel="00000000" w:rsidR="00000000" w:rsidRPr="00000000">
        <w:rPr>
          <w:rFonts w:ascii="Times New Roman" w:cs="Times New Roman" w:eastAsia="Times New Roman" w:hAnsi="Times New Roman"/>
          <w:rtl w:val="0"/>
        </w:rPr>
        <w:t xml:space="preserve"> sientan las bases para esta concepción de la integración de datos, modelos y toma de decisiones. Esta integración de datos, modelos y toma de decisiones es consistente con las arquitecturas propuestas para gemelos digitales en entornos industriales, donde se enfatiza el ciclo de vida completo del sistema y la actualización continua de su representación virtual </w:t>
      </w:r>
      <w:hyperlink r:id="rId46">
        <w:r w:rsidDel="00000000" w:rsidR="00000000" w:rsidRPr="00000000">
          <w:rPr>
            <w:rFonts w:ascii="Times New Roman" w:cs="Times New Roman" w:eastAsia="Times New Roman" w:hAnsi="Times New Roman"/>
            <w:rtl w:val="0"/>
          </w:rPr>
          <w:t xml:space="preserve">(Tao et al., 2019)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Aplicado a EMS, el sistema físico está constituido por ambulancias, bases, hospitales, llamadas de emergencia y red de transporte. Su estado operacional se modifica constantemente debido a nuevas llamadas, finalización de servicios, movimientos de vehículos, congestión, meteorología y cambios en la disponibilidad hospitalaria. En consecuencia, un EMS puede representarse como un sistema dinámico estocástico espacio-temporal. El modelo de este estudio abstrae la demanda y disponibilidad por zonas; los tiempos de viaje y liberación y la configuración de flota no identificables en los registros se documentan como supuestos, sin incorporar información hospitalaria, meteorológica o de tráfico en tiempo real.</w:t>
      </w:r>
      <w:r w:rsidDel="00000000" w:rsidR="00000000" w:rsidRPr="00000000">
        <w:rPr>
          <w:rtl w:val="0"/>
        </w:rPr>
      </w:r>
    </w:p>
    <w:p w:rsidR="00000000" w:rsidDel="00000000" w:rsidP="00000000" w:rsidRDefault="00000000" w:rsidRPr="00000000" w14:paraId="0000003B">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s3kp4hg9yjp3" w:id="15"/>
      <w:bookmarkEnd w:id="15"/>
      <w:r w:rsidDel="00000000" w:rsidR="00000000" w:rsidRPr="00000000">
        <w:rPr>
          <w:rFonts w:ascii="Times New Roman" w:cs="Times New Roman" w:eastAsia="Times New Roman" w:hAnsi="Times New Roman"/>
          <w:b w:val="1"/>
          <w:bCs w:val="1"/>
          <w:color w:val="000000"/>
          <w:sz w:val="26"/>
          <w:szCs w:val="26"/>
          <w:rtl w:val="0"/>
        </w:rPr>
        <w:t xml:space="preserve">3.2. EMS como sistema de colas, cobertura y asignación espacial</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teoría de sistemas, el desempeño de los EMS emerge de la interacción entre procesos de llegada de demanda y recursos con capacidad limitada. Las llamadas aparecen de forma estocástica; una ambulancia puede encontrarse disponible, desplazándose, atendiendo a un paciente, transportándolo o recuperando disponibilidad. Una emergencia que ocurre mientras los recursos cercanos están ocupados debe ser atendida desde posiciones más distantes, incrementando el tiempo de respuesta y modificando simultáneamente la cobertura restante.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tanto, minimizar individualmente la distancia entre una ambulancia y una llamada no garantiza una solución globalmente eficiente. Despachar la ambulancia más cercana puede dejar una región sin cobertura y producir mayores tiempos de respuesta en llamadas posteriores. La decisión correcta depende del estado completo de la flota y de la distribución probable de demanda futura.</w:t>
      </w:r>
    </w:p>
    <w:p w:rsidR="00000000" w:rsidDel="00000000" w:rsidP="00000000" w:rsidRDefault="00000000" w:rsidRPr="00000000" w14:paraId="0000003E">
      <w:pPr>
        <w:spacing w:after="240" w:line="360" w:lineRule="auto"/>
        <w:jc w:val="both"/>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rtl w:val="0"/>
          </w:rPr>
          <w:t xml:space="preserve">(Aboueljinane et al., 2013)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documentan en su revisión de modelos de simulación aplicados a servicios médicos de emergencia durante cuatro décadas, que la regla “la unidad disponible más cercana” es la que más se encuentra en la literatura para el despacho de ambulancia. Esto es así, aunque existen otras alternativas como la respuesta regionalizada o la unidad con menor tiempo de respuesta esperado entre todas las unidades. Esta categorización apoya la selección de esa regla como política reactiva principal en el estudio actual.</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relocalización dinámica introduce precisamente este componente anticipatorio. En lugar de esperar que ocurra la siguiente emergencia, los recursos disponibles pueden desplazarse preventivamente hacia zonas con mayor probabilidad de demanda o hacia sectores cuya cobertura se ha deteriorado. La revisión de </w:t>
      </w:r>
      <w:hyperlink r:id="rId48">
        <w:r w:rsidDel="00000000" w:rsidR="00000000" w:rsidRPr="00000000">
          <w:rPr>
            <w:rFonts w:ascii="Times New Roman" w:cs="Times New Roman" w:eastAsia="Times New Roman" w:hAnsi="Times New Roman"/>
            <w:rtl w:val="0"/>
          </w:rPr>
          <w:t xml:space="preserve">(Becker et al., 2023)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 los modelos recientes de optimización confirman que la ubicación de hospitales, estimaciones de demanda, disponibilidad y características geográficas constituyen variables fundamentales para estas decisiones.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simulación, el tiempo de respuesta se calcula como llegada a escena menos creación de la llamada. Los intervalos históricos sirven para caracterización y calibración, no se suman completos a nuevas esperas. La flota, sus posiciones y las reglas de liberación son parámetros documentados; los incidentes sin llegada al cierre se conservan para evitar evaluar únicamente los casos atendidos.</w:t>
      </w:r>
      <w:r w:rsidDel="00000000" w:rsidR="00000000" w:rsidRPr="00000000">
        <w:rPr>
          <w:rtl w:val="0"/>
        </w:rPr>
      </w:r>
    </w:p>
    <w:p w:rsidR="00000000" w:rsidDel="00000000" w:rsidP="00000000" w:rsidRDefault="00000000" w:rsidRPr="00000000" w14:paraId="00000041">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nxyfuz7l05jr" w:id="16"/>
      <w:bookmarkEnd w:id="16"/>
      <w:r w:rsidDel="00000000" w:rsidR="00000000" w:rsidRPr="00000000">
        <w:rPr>
          <w:rFonts w:ascii="Times New Roman" w:cs="Times New Roman" w:eastAsia="Times New Roman" w:hAnsi="Times New Roman"/>
          <w:b w:val="1"/>
          <w:bCs w:val="1"/>
          <w:color w:val="000000"/>
          <w:sz w:val="26"/>
          <w:szCs w:val="26"/>
          <w:rtl w:val="0"/>
        </w:rPr>
        <w:t xml:space="preserve">3.3. Predicción espacio-temporal y despacho predictivo</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la demanda esperada de llamadas EMS en una zona geográfica z durante un horizonte futuro h. El problema predictivo puede expresarse conceptualmente como:</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=f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hist</m:t>
            </m:r>
          </m:sub>
        </m:sSub>
        <m:r>
          <w:rPr>
            <w:rFonts w:ascii="Times New Roman" w:cs="Times New Roman" w:eastAsia="Times New Roman" w:hAnsi="Times New Roman"/>
          </w:rPr>
          <m:t xml:space="preserve">(z,&lt;t), Cal(t), z) </m:t>
        </m:r>
      </m:oMath>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45">
      <w:pPr>
        <w:numPr>
          <w:ilvl w:val="0"/>
          <w:numId w:val="3"/>
        </w:numPr>
        <w:spacing w:after="240" w:before="240"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conteo esperado en la zona z durante t + h.</w:t>
      </w:r>
    </w:p>
    <w:p w:rsidR="00000000" w:rsidDel="00000000" w:rsidP="00000000" w:rsidRDefault="00000000" w:rsidRPr="00000000" w14:paraId="00000046">
      <w:pPr>
        <w:numPr>
          <w:ilvl w:val="0"/>
          <w:numId w:val="3"/>
        </w:numPr>
        <w:spacing w:after="240" w:before="240"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hist</m:t>
            </m:r>
          </m:sub>
        </m:sSub>
      </m:oMath>
      <w:r w:rsidDel="00000000" w:rsidR="00000000" w:rsidRPr="00000000">
        <w:rPr>
          <w:rFonts w:ascii="Times New Roman" w:cs="Times New Roman" w:eastAsia="Times New Roman" w:hAnsi="Times New Roman"/>
          <w:rtl w:val="0"/>
        </w:rPr>
        <w:t xml:space="preserve">: conteos anteriores al instante de emisión, incluidos rezagos de 1, 24 y 168 horas.</w:t>
      </w:r>
    </w:p>
    <w:p w:rsidR="00000000" w:rsidDel="00000000" w:rsidP="00000000" w:rsidRDefault="00000000" w:rsidRPr="00000000" w14:paraId="00000047">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Cal(t)</m:t>
        </m:r>
      </m:oMath>
      <w:r w:rsidDel="00000000" w:rsidR="00000000" w:rsidRPr="00000000">
        <w:rPr>
          <w:rFonts w:ascii="Times New Roman" w:cs="Times New Roman" w:eastAsia="Times New Roman" w:hAnsi="Times New Roman"/>
          <w:rtl w:val="0"/>
        </w:rPr>
        <w:t xml:space="preserve">: condiciones de tráfico en la zona zz en el instante tt.</w:t>
      </w:r>
    </w:p>
    <w:p w:rsidR="00000000" w:rsidDel="00000000" w:rsidP="00000000" w:rsidRDefault="00000000" w:rsidRPr="00000000" w14:paraId="00000048">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borough al que corresponde el pronóstico.</w:t>
      </w:r>
    </w:p>
    <w:p w:rsidR="00000000" w:rsidDel="00000000" w:rsidP="00000000" w:rsidRDefault="00000000" w:rsidRPr="00000000" w14:paraId="00000049">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h</m:t>
        </m:r>
      </m:oMath>
      <w:r w:rsidDel="00000000" w:rsidR="00000000" w:rsidRPr="00000000">
        <w:rPr>
          <w:rFonts w:ascii="Times New Roman" w:cs="Times New Roman" w:eastAsia="Times New Roman" w:hAnsi="Times New Roman"/>
          <w:rtl w:val="0"/>
        </w:rPr>
        <w:t xml:space="preserve">: horizonte primario de 60 minutos.</w:t>
      </w:r>
    </w:p>
    <w:p w:rsidR="00000000" w:rsidDel="00000000" w:rsidP="00000000" w:rsidRDefault="00000000" w:rsidRPr="00000000" w14:paraId="0000004A">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 </m:t>
        </m:r>
      </m:oMath>
      <w:r w:rsidDel="00000000" w:rsidR="00000000" w:rsidRPr="00000000">
        <w:rPr>
          <w:rFonts w:ascii="Times New Roman" w:cs="Times New Roman" w:eastAsia="Times New Roman" w:hAnsi="Times New Roman"/>
          <w:rtl w:val="0"/>
        </w:rPr>
        <w:t xml:space="preserve">: modelo predictivo; se compara una regresión de Poisson con persistencia semanal y promedio histórico por zona, día de semana y hora.</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predicción constituye la transición desde el despacho reactivo hacia el despacho predictivo. En un esquema convencional, la acción comienza después de recibida una llamada. En el modelo predictivo, el sistema estima el volumen de llamadas durante la siguiente hora y utiliza dichas estimaciones para actualizar preventivamente la distribución de ambulancias.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recientes sobre forecasting EMS respaldan evaluar modelos capaces de capturar relaciones espacio-temporales, pero no determinan un ganador para otro contexto. El estudio no incorpora tráfico, clima, eventos extraordinarios ni características socioeconómicas como entradas sin fuentes compatibles. En el Digital Twin propuesto, el pronóstico no representa un objetivo final, sino una entrada del módulo de decisión.</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distingue entrenamiento del 1 de abril al 15 de mayo de 2026, validación del 16 al 31 de mayo y prueba del 1 al 30 de junio. Las primeras 168 horas se reservan para formar rezagos; las transformaciones se ajustan con entrenamiento y las decisiones del modelo se cierran con validación. MAE, RMSE y WAPE se calculan sobre las mismas celdas borough-hora válidas. La exactitud predictiva se evalúa por separado del desempeño simulado, sin utilizar información futura al despachar.</w:t>
      </w:r>
    </w:p>
    <w:p w:rsidR="00000000" w:rsidDel="00000000" w:rsidP="00000000" w:rsidRDefault="00000000" w:rsidRPr="00000000" w14:paraId="0000004E">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g1imjrtjlzk" w:id="17"/>
      <w:bookmarkEnd w:id="17"/>
      <w:r w:rsidDel="00000000" w:rsidR="00000000" w:rsidRPr="00000000">
        <w:rPr>
          <w:rFonts w:ascii="Times New Roman" w:cs="Times New Roman" w:eastAsia="Times New Roman" w:hAnsi="Times New Roman"/>
          <w:b w:val="1"/>
          <w:bCs w:val="1"/>
          <w:color w:val="000000"/>
          <w:sz w:val="26"/>
          <w:szCs w:val="26"/>
          <w:rtl w:val="0"/>
        </w:rPr>
        <w:t xml:space="preserve">3.4. Optimización dinámica de recursos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estimada la demanda futura, debe determinarse la posición de la flota. En la literatura de optimización, puede definirse una variable binaria:</w:t>
      </w:r>
      <w:r w:rsidDel="00000000" w:rsidR="00000000" w:rsidRPr="00000000">
        <w:rPr>
          <w:rtl w:val="0"/>
        </w:rPr>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r>
          <w:rPr>
            <w:rFonts w:ascii="Times New Roman" w:cs="Times New Roman" w:eastAsia="Times New Roman" w:hAnsi="Times New Roman"/>
          </w:rPr>
          <m:t xml:space="preserve"> = 1, si la ambulancia i es asignada o relocalizada a la zona j en t </m:t>
        </m:r>
      </m:oMath>
      <w:r w:rsidDel="00000000" w:rsidR="00000000" w:rsidRPr="00000000">
        <w:rPr>
          <w:rtl w:val="0"/>
        </w:rPr>
      </w:r>
    </w:p>
    <w:p w:rsidR="00000000" w:rsidDel="00000000" w:rsidP="00000000" w:rsidRDefault="00000000" w:rsidRPr="00000000" w14:paraId="00000051">
      <w:pPr>
        <w:spacing w:after="240" w:before="240" w:lineRule="auto"/>
        <w:ind w:left="720"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r>
          <w:rPr>
            <w:rFonts w:ascii="Times New Roman" w:cs="Times New Roman" w:eastAsia="Times New Roman" w:hAnsi="Times New Roman"/>
          </w:rPr>
          <m:t xml:space="preserve"> = 0, si la ambulancia i no es asignada ni relocalizada a j en t</m:t>
        </m:r>
      </m:oMath>
      <w:r w:rsidDel="00000000" w:rsidR="00000000" w:rsidRPr="00000000">
        <w:rPr>
          <w:rtl w:val="0"/>
        </w:rPr>
      </w:r>
    </w:p>
    <w:p w:rsidR="00000000" w:rsidDel="00000000" w:rsidP="00000000" w:rsidRDefault="00000000" w:rsidRPr="00000000" w14:paraId="0000005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ambulancia.</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zona, estación o punto candidato de relocalización.</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periodo de decisión.</w:t>
      </w:r>
    </w:p>
    <w:p w:rsidR="00000000" w:rsidDel="00000000" w:rsidP="00000000" w:rsidRDefault="00000000" w:rsidRPr="00000000" w14:paraId="00000056">
      <w:pPr>
        <w:numPr>
          <w:ilvl w:val="0"/>
          <w:numId w:val="1"/>
        </w:numPr>
        <w:spacing w:after="24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oMath>
      <w:r w:rsidDel="00000000" w:rsidR="00000000" w:rsidRPr="00000000">
        <w:rPr>
          <w:rFonts w:ascii="Times New Roman" w:cs="Times New Roman" w:eastAsia="Times New Roman" w:hAnsi="Times New Roman"/>
          <w:rtl w:val="0"/>
        </w:rPr>
        <w:t xml:space="preserve">: decisión tomada por el optimizador.</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una</w:t>
      </w:r>
      <w:r w:rsidDel="00000000" w:rsidR="00000000" w:rsidRPr="00000000">
        <w:rPr>
          <w:rFonts w:ascii="Times New Roman" w:cs="Times New Roman" w:eastAsia="Times New Roman" w:hAnsi="Times New Roman"/>
          <w:rtl w:val="0"/>
        </w:rPr>
        <w:t xml:space="preserve"> variable de decisión binaria</w:t>
      </w:r>
      <w:r w:rsidDel="00000000" w:rsidR="00000000" w:rsidRPr="00000000">
        <w:rPr>
          <w:rFonts w:ascii="Times New Roman" w:cs="Times New Roman" w:eastAsia="Times New Roman" w:hAnsi="Times New Roman"/>
          <w:rtl w:val="0"/>
        </w:rPr>
        <w:t xml:space="preserve"> que puede utilizarse dentro del modelo de programación lineal entera mixta, MILP.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formularse una función objetivo multiobjetivo del tipo:</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min Z = </m:t>
        </m:r>
        <m:r>
          <w:rPr>
            <w:rFonts w:ascii="Times New Roman" w:cs="Times New Roman" w:eastAsia="Times New Roman" w:hAnsi="Times New Roman"/>
          </w:rPr>
          <m:t>α</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b>
            <m:r>
              <w:rPr>
                <w:rFonts w:ascii="Times New Roman" w:cs="Times New Roman" w:eastAsia="Times New Roman" w:hAnsi="Times New Roman"/>
              </w:rPr>
              <m:t xml:space="preserve">resp</m:t>
            </m:r>
          </m:sub>
        </m:sSub>
        <m:r>
          <w:rPr>
            <w:rFonts w:ascii="Times New Roman" w:cs="Times New Roman" w:eastAsia="Times New Roman" w:hAnsi="Times New Roman"/>
          </w:rPr>
          <m:t xml:space="preserve">+ </m:t>
        </m:r>
        <m:r>
          <w:rPr>
            <w:rFonts w:ascii="Times New Roman" w:cs="Times New Roman" w:eastAsia="Times New Roman" w:hAnsi="Times New Roman"/>
          </w:rPr>
          <m:t>β</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m:t>
        </m:r>
        <m:r>
          <w:rPr>
            <w:rFonts w:ascii="Times New Roman" w:cs="Times New Roman" w:eastAsia="Times New Roman" w:hAnsi="Times New Roman"/>
          </w:rPr>
          <m:t>γ</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reloc</m:t>
            </m:r>
          </m:sub>
        </m:sSub>
        <m:r>
          <w:rPr>
            <w:rFonts w:ascii="Times New Roman" w:cs="Times New Roman" w:eastAsia="Times New Roman" w:hAnsi="Times New Roman"/>
          </w:rPr>
          <m:t xml:space="preserve">+</m:t>
        </m:r>
        <m:r>
          <w:rPr>
            <w:rFonts w:ascii="Times New Roman" w:cs="Times New Roman" w:eastAsia="Times New Roman" w:hAnsi="Times New Roman"/>
          </w:rPr>
          <m:t>δ</m:t>
        </m:r>
        <m:r>
          <w:rPr>
            <w:rFonts w:ascii="Times New Roman" w:cs="Times New Roman" w:eastAsia="Times New Roman" w:hAnsi="Times New Roman"/>
          </w:rPr>
          <m:t xml:space="preserve">U</m:t>
        </m:r>
      </m:oMath>
      <w:r w:rsidDel="00000000" w:rsidR="00000000" w:rsidRPr="00000000">
        <w:rPr>
          <w:rtl w:val="0"/>
        </w:rPr>
      </w:r>
    </w:p>
    <w:p w:rsidR="00000000" w:rsidDel="00000000" w:rsidP="00000000" w:rsidRDefault="00000000" w:rsidRPr="00000000" w14:paraId="0000005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5B">
      <w:pPr>
        <w:numPr>
          <w:ilvl w:val="0"/>
          <w:numId w:val="4"/>
        </w:numPr>
        <w:spacing w:after="0" w:afterAutospacing="0" w:befor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valor total que debe minimizar el modelo.</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b>
            <m:r>
              <w:rPr>
                <w:rFonts w:ascii="Times New Roman" w:cs="Times New Roman" w:eastAsia="Times New Roman" w:hAnsi="Times New Roman"/>
              </w:rPr>
              <m:t xml:space="preserve">resp</m:t>
            </m:r>
          </m:sub>
        </m:sSub>
      </m:oMath>
      <w:r w:rsidDel="00000000" w:rsidR="00000000" w:rsidRPr="00000000">
        <w:rPr>
          <w:rFonts w:ascii="Times New Roman" w:cs="Times New Roman" w:eastAsia="Times New Roman" w:hAnsi="Times New Roman"/>
          <w:rtl w:val="0"/>
        </w:rPr>
        <w:t xml:space="preserve">: tiempo medio esperado de respuesta EMS.</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eq</m:t>
            </m:r>
          </m:sub>
        </m:sSub>
      </m:oMath>
      <w:r w:rsidDel="00000000" w:rsidR="00000000" w:rsidRPr="00000000">
        <w:rPr>
          <w:rFonts w:ascii="Times New Roman" w:cs="Times New Roman" w:eastAsia="Times New Roman" w:hAnsi="Times New Roman"/>
          <w:rtl w:val="0"/>
        </w:rPr>
        <w:t xml:space="preserve">: medida de disparidad o inequidad entre grupos socioeconómicos.</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reloc</m:t>
            </m:r>
          </m:sub>
        </m:sSub>
      </m:oMath>
      <w:r w:rsidDel="00000000" w:rsidR="00000000" w:rsidRPr="00000000">
        <w:rPr>
          <w:rFonts w:ascii="Times New Roman" w:cs="Times New Roman" w:eastAsia="Times New Roman" w:hAnsi="Times New Roman"/>
          <w:rtl w:val="0"/>
        </w:rPr>
        <w:t xml:space="preserve">: costo asociado con la relocalización de ambulancias.</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demanda esperada no cubierta o insuficientemente cubierta.</w:t>
      </w:r>
    </w:p>
    <w:p w:rsidR="00000000" w:rsidDel="00000000" w:rsidP="00000000" w:rsidRDefault="00000000" w:rsidRPr="00000000" w14:paraId="00000060">
      <w:pPr>
        <w:numPr>
          <w:ilvl w:val="0"/>
          <w:numId w:val="4"/>
        </w:numPr>
        <w:spacing w:after="240" w:before="0" w:beforeAutospacing="0" w:lineRule="auto"/>
        <w:ind w:left="720" w:hanging="360"/>
        <w:rPr>
          <w:rFonts w:ascii="Times New Roman" w:cs="Times New Roman" w:eastAsia="Times New Roman" w:hAnsi="Times New Roman"/>
        </w:rPr>
      </w:pPr>
      <m:oMath>
        <m:r>
          <m:t>α</m:t>
        </m:r>
        <m:r>
          <w:rPr>
            <w:rFonts w:ascii="Times New Roman" w:cs="Times New Roman" w:eastAsia="Times New Roman" w:hAnsi="Times New Roman"/>
          </w:rPr>
          <m:t xml:space="preserve">,</m:t>
        </m:r>
        <m:r>
          <w:rPr>
            <w:rFonts w:ascii="Times New Roman" w:cs="Times New Roman" w:eastAsia="Times New Roman" w:hAnsi="Times New Roman"/>
          </w:rPr>
          <m:t>β</m:t>
        </m:r>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m:t>
        </m:r>
        <m:r>
          <w:rPr>
            <w:rFonts w:ascii="Times New Roman" w:cs="Times New Roman" w:eastAsia="Times New Roman" w:hAnsi="Times New Roman"/>
          </w:rPr>
          <m:t>δ</m:t>
        </m:r>
      </m:oMath>
      <w:r w:rsidDel="00000000" w:rsidR="00000000" w:rsidRPr="00000000">
        <w:rPr>
          <w:rFonts w:ascii="Times New Roman" w:cs="Times New Roman" w:eastAsia="Times New Roman" w:hAnsi="Times New Roman"/>
          <w:rtl w:val="0"/>
        </w:rPr>
        <w:t xml:space="preserve">: pesos asignados a cada objetivo.</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formulación se alinea con la evidencia de </w:t>
      </w:r>
      <w:hyperlink r:id="rId49">
        <w:r w:rsidDel="00000000" w:rsidR="00000000" w:rsidRPr="00000000">
          <w:rPr>
            <w:rFonts w:ascii="Times New Roman" w:cs="Times New Roman" w:eastAsia="Times New Roman" w:hAnsi="Times New Roman"/>
            <w:rtl w:val="0"/>
          </w:rPr>
          <w:t xml:space="preserve">(Gago-Carro et al., 2024)</w:t>
        </w:r>
      </w:hyperlink>
      <w:r w:rsidDel="00000000" w:rsidR="00000000" w:rsidRPr="00000000">
        <w:rPr>
          <w:rFonts w:ascii="Times New Roman" w:cs="Times New Roman" w:eastAsia="Times New Roman" w:hAnsi="Times New Roman"/>
          <w:rtl w:val="0"/>
        </w:rPr>
        <w:t xml:space="preserve">, quienes demuestran que la equidad puede incorporarse explícitamente dentro de modelos de asignación de ambulancias. La formulación se incluye como antecedente conceptual, no como el algoritmo implementado en este sistema. El presente marco utiliza una puntuación heurística de tiempo estimado de llegada, demanda de la zona de origen y cobertura residual, junto con reglas periódicas de relocalización. No resuelve un MILP ni utiliza quintiles socioeconómicos; los pesos y desempates quedan fijados antes de la prueba.</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formulaciones de la literatura incorporan un criterio clínico: la supervivencia esperada. </w:t>
      </w:r>
      <w:hyperlink r:id="rId50">
        <w:r w:rsidDel="00000000" w:rsidR="00000000" w:rsidRPr="00000000">
          <w:rPr>
            <w:rFonts w:ascii="Times New Roman" w:cs="Times New Roman" w:eastAsia="Times New Roman" w:hAnsi="Times New Roman"/>
            <w:rtl w:val="0"/>
          </w:rPr>
          <w:t xml:space="preserve">(Erkut et al., 2008)</w:t>
        </w:r>
      </w:hyperlink>
      <w:r w:rsidDel="00000000" w:rsidR="00000000" w:rsidRPr="00000000">
        <w:rPr>
          <w:rFonts w:ascii="Times New Roman" w:cs="Times New Roman" w:eastAsia="Times New Roman" w:hAnsi="Times New Roman"/>
          <w:rtl w:val="0"/>
        </w:rPr>
        <w:t xml:space="preserve"> mostraron que, si en los modelos de localización se incorpora una función de supervivencia que disminuye de forma monótona conforme aumenta el tiempo de respuesta (calibrada con datos de paro cardíaco), las soluciones quedan mejor alineadas con el resultado clínico real que si solo se maximiza la cobertura binaria. De hecho, dos configuraciones con la misma cobertura pueden diferir bastante en el número esperado de personas que sobreviven. Este antecedente permite distinguir cobertura temporal y desenlace clínico. El presente estudio no estima supervivencia ni incluye una función S(x), porque los registros utilizados no permiten evaluar ese efecto.</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bien, cuando el espacio de estados es demasiado grande para hacer una optimización exacta en cada periodo, otra opción es que las políticas de despacho se aprendan mediante aprendizaje por refuerzo. En ese caso, el estado del gemelo digital (posiciones, ocupación y demanda pronosticada) funciona como la observación; las asignaciones y relocalizaciones constituyen el espacio de acciones; y una función de recompensa orienta el aprendizaje </w:t>
      </w:r>
      <w:hyperlink r:id="rId51">
        <w:r w:rsidDel="00000000" w:rsidR="00000000" w:rsidRPr="00000000">
          <w:rPr>
            <w:rFonts w:ascii="Times New Roman" w:cs="Times New Roman" w:eastAsia="Times New Roman" w:hAnsi="Times New Roman"/>
            <w:rtl w:val="0"/>
          </w:rPr>
          <w:t xml:space="preserve">(Liu et al., 2020)</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opción tampoco se incluye en el enfoque analizado. La comparación central opone políticas integrales; asociar una variación únicamente al pronóstico o a la reubicación demanda pruebas de eliminación.</w:t>
      </w:r>
    </w:p>
    <w:p w:rsidR="00000000" w:rsidDel="00000000" w:rsidP="00000000" w:rsidRDefault="00000000" w:rsidRPr="00000000" w14:paraId="00000065">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vhyke0ha9y1q" w:id="18"/>
      <w:bookmarkEnd w:id="18"/>
      <w:r w:rsidDel="00000000" w:rsidR="00000000" w:rsidRPr="00000000">
        <w:rPr>
          <w:rFonts w:ascii="Times New Roman" w:cs="Times New Roman" w:eastAsia="Times New Roman" w:hAnsi="Times New Roman"/>
          <w:b w:val="1"/>
          <w:bCs w:val="1"/>
          <w:color w:val="000000"/>
          <w:sz w:val="26"/>
          <w:szCs w:val="26"/>
          <w:rtl w:val="0"/>
        </w:rPr>
        <w:t xml:space="preserve">3.5. Simulación temporal como motor experimental del Digital Twin</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capacitación por eventos de los servicios de emergencias altera su condición en momentos específicos, como puede ser el recibo de una llamada, la asignación de un vehículo, el despegue desde una base, la llegada al lugar del incidente, el inicio del traslado, la admisión en un hospital y la recuperación de la disponibilidad. Por lo tanto, la simulación de eventos discretos es un enfoque adecuado para reflejar su funcionamiento. El motor de este análisis ejecuta los cambios en intervalos fijos de un minuto, en lugar de progresar directamente hacia el siguiente evento; esta resolución debe ser considerada al analizar tiempos y límites. En este contexto, </w:t>
      </w:r>
      <w:hyperlink r:id="rId52">
        <w:r w:rsidDel="00000000" w:rsidR="00000000" w:rsidRPr="00000000">
          <w:rPr>
            <w:rFonts w:ascii="Times New Roman" w:cs="Times New Roman" w:eastAsia="Times New Roman" w:hAnsi="Times New Roman"/>
            <w:rtl w:val="0"/>
          </w:rPr>
          <w:t xml:space="preserve">(Olave-Rojas &amp; Nickel, 2021)</w:t>
        </w:r>
      </w:hyperlink>
      <w:r w:rsidDel="00000000" w:rsidR="00000000" w:rsidRPr="00000000">
        <w:rPr>
          <w:rFonts w:ascii="Times New Roman" w:cs="Times New Roman" w:eastAsia="Times New Roman" w:hAnsi="Times New Roman"/>
          <w:rtl w:val="0"/>
        </w:rPr>
        <w:t xml:space="preserve"> desarrollaron un modelo de simulación híbrido que combina la simulación basada en agentes con la de eventos discretos para replicar el sistema de emergencia alemán. Este modelo incluye un sistema de aprendizaje automático que permite prever la velocidad a la que se trasladan las unidades basándose en siete parámetros. Aunque su uso se centra en la velocidad de los viajes y no en la demanda horaria para áreas como en el presente estudio, este precedente respalda que se incluya un componente predictivo en el motor de simulación..</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paradigma, el Digital Twin tiene la capacidad de llevar a cabo escenarios contrafactuales que mantienen las mismas llamadas históricas, al tiempo que cambia la política de despacho y relocalización, pero mantiene constantes la flota inicial y las condiciones exógenas:</w:t>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Escenario A: </w:t>
      </w:r>
      <w:r w:rsidDel="00000000" w:rsidR="00000000" w:rsidRPr="00000000">
        <w:rPr>
          <w:rFonts w:ascii="Times New Roman" w:cs="Times New Roman" w:eastAsia="Times New Roman" w:hAnsi="Times New Roman"/>
          <w:rtl w:val="0"/>
        </w:rPr>
        <w:t xml:space="preserve">despacho reactivo por menor tiempo estimado de llegada entre unidades disponibles.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Escenario B: </w:t>
      </w:r>
      <w:r w:rsidDel="00000000" w:rsidR="00000000" w:rsidRPr="00000000">
        <w:rPr>
          <w:rFonts w:ascii="Times New Roman" w:cs="Times New Roman" w:eastAsia="Times New Roman" w:hAnsi="Times New Roman"/>
          <w:rtl w:val="0"/>
        </w:rPr>
        <w:t xml:space="preserve">despacho asistido por pronósticos y relocalización heurística dentro del Digital Twin.</w:t>
      </w: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rtl w:val="0"/>
          </w:rPr>
          <w:t xml:space="preserve">(Essus et al., 2024)</w:t>
        </w:r>
      </w:hyperlink>
      <w:r w:rsidDel="00000000" w:rsidR="00000000" w:rsidRPr="00000000">
        <w:rPr>
          <w:rFonts w:ascii="Times New Roman" w:cs="Times New Roman" w:eastAsia="Times New Roman" w:hAnsi="Times New Roman"/>
          <w:rtl w:val="0"/>
        </w:rPr>
        <w:t xml:space="preserve"> y </w:t>
      </w:r>
      <w:hyperlink r:id="rId54">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han evidenciado la valía de este método. Ya que se emplearon gemelos digitales basados en simulaciones para analizar configuraciones organizativas de centros de emergencia y la combinación óptima en tiempo real con simulación discreta, respectivamente.</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Tambien es posible aplicar alteraciones al sistema mediante la simulación, como el aumento de la demanda, las modificaciones en la cantidad de ambulancias y las fluctuaciones en tiempos de ocupación y desplazamiento.. Estas perturbaciones se declaran como escenarios de sensibilidad, no como reconstrucciones observadas de tormentas o eventos masivos.</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experimentos utilizan variaciones aleatorias emparejadas por incidente o componente; compartir una semilla no basta si cada política consume números de forma distinta. El diseño contempla inicialmente 30 pares, ajustables por precisión en validación, con intervalos del 95 % que respeten el emparejamiento y la dependencia temporal. La diferencia primaria es respuesta media predictiva menos reactiva por par. Se fijan calentamiento, medición y vaciado, y se reportan llamadas pendientes junto a las medias de los incidentes con llegada.</w:t>
      </w:r>
      <w:r w:rsidDel="00000000" w:rsidR="00000000" w:rsidRPr="00000000">
        <w:rPr>
          <w:rtl w:val="0"/>
        </w:rPr>
      </w:r>
    </w:p>
    <w:p w:rsidR="00000000" w:rsidDel="00000000" w:rsidP="00000000" w:rsidRDefault="00000000" w:rsidRPr="00000000" w14:paraId="0000006D">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bld0x0b98dpq" w:id="19"/>
      <w:bookmarkEnd w:id="19"/>
      <w:r w:rsidDel="00000000" w:rsidR="00000000" w:rsidRPr="00000000">
        <w:rPr>
          <w:rFonts w:ascii="Times New Roman" w:cs="Times New Roman" w:eastAsia="Times New Roman" w:hAnsi="Times New Roman"/>
          <w:b w:val="1"/>
          <w:bCs w:val="1"/>
          <w:color w:val="000000"/>
          <w:sz w:val="26"/>
          <w:szCs w:val="26"/>
          <w:rtl w:val="0"/>
        </w:rPr>
        <w:t xml:space="preserve">3.6. Equidad espacial como dimensión de desempeño</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dimensión relevante del presente estudio es que la eficiencia global no se considera suficiente. La equidad espacial motiva examinar cómo se distribuye la respuesta oportuna entre territorios. Su operacionalización aquí es descriptiva por borough, ya que no se dispone de quintiles socioeconómicos ni se identifican causas de desigualdad.</w:t>
      </w: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w:t>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respuesta</m:t>
            </m:r>
          </m:sub>
        </m:sSub>
        <m:r>
          <w:rPr>
            <w:rFonts w:ascii="Times New Roman" w:cs="Times New Roman" w:eastAsia="Times New Roman" w:hAnsi="Times New Roman"/>
          </w:rPr>
          <m:t xml:space="preserve">&lt;</m:t>
        </m:r>
        <m:r>
          <w:rPr>
            <w:rFonts w:ascii="Times New Roman" w:cs="Times New Roman" w:eastAsia="Times New Roman" w:hAnsi="Times New Roman"/>
          </w:rPr>
          <m:t>τ</m:t>
        </m:r>
        <m:r>
          <w:rPr>
            <w:rFonts w:ascii="Times New Roman" w:cs="Times New Roman" w:eastAsia="Times New Roman" w:hAnsi="Times New Roman"/>
          </w:rPr>
          <m:t xml:space="preserve"> | zona=z)</m:t>
        </m:r>
      </m:oMath>
      <w:r w:rsidDel="00000000" w:rsidR="00000000" w:rsidRPr="00000000">
        <w:rPr>
          <w:rtl w:val="0"/>
        </w:rPr>
      </w:r>
    </w:p>
    <w:p w:rsidR="00000000" w:rsidDel="00000000" w:rsidP="00000000" w:rsidRDefault="00000000" w:rsidRPr="00000000" w14:paraId="0000007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72">
      <w:pPr>
        <w:numPr>
          <w:ilvl w:val="0"/>
          <w:numId w:val="2"/>
        </w:numPr>
        <w:spacing w:after="0" w:afterAutospacing="0" w:before="24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z</m:t>
            </m:r>
          </m:sub>
        </m:sSub>
      </m:oMath>
      <w:r w:rsidDel="00000000" w:rsidR="00000000" w:rsidRPr="00000000">
        <w:rPr>
          <w:rFonts w:ascii="Times New Roman" w:cs="Times New Roman" w:eastAsia="Times New Roman" w:hAnsi="Times New Roman"/>
          <w:rtl w:val="0"/>
        </w:rPr>
        <w:t xml:space="preserve">: probabilidad de respuesta antes del umbral en la zona z.</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respuesta</m:t>
            </m:r>
          </m:sub>
        </m:sSub>
      </m:oMath>
      <w:r w:rsidDel="00000000" w:rsidR="00000000" w:rsidRPr="00000000">
        <w:rPr>
          <w:rFonts w:ascii="Times New Roman" w:cs="Times New Roman" w:eastAsia="Times New Roman" w:hAnsi="Times New Roman"/>
          <w:rtl w:val="0"/>
        </w:rPr>
        <w:t xml:space="preserve">: tiempo entre creación de la llamada y llegada a escena.</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rPr>
      </w:pPr>
      <m:oMath>
        <m:r>
          <m:t>τ</m:t>
        </m:r>
      </m:oMath>
      <w:r w:rsidDel="00000000" w:rsidR="00000000" w:rsidRPr="00000000">
        <w:rPr>
          <w:rFonts w:ascii="Times New Roman" w:cs="Times New Roman" w:eastAsia="Times New Roman" w:hAnsi="Times New Roman"/>
          <w:rtl w:val="0"/>
        </w:rPr>
        <w:t xml:space="preserve">: umbral analítico de ocho minutos</w:t>
      </w:r>
    </w:p>
    <w:p w:rsidR="00000000" w:rsidDel="00000000" w:rsidP="00000000" w:rsidRDefault="00000000" w:rsidRPr="00000000" w14:paraId="00000075">
      <w:pPr>
        <w:numPr>
          <w:ilvl w:val="0"/>
          <w:numId w:val="2"/>
        </w:numPr>
        <w:spacing w:after="36" w:before="36" w:lin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sz w:val="24"/>
          <w:szCs w:val="24"/>
          <w:rtl w:val="0"/>
        </w:rPr>
        <w:t xml:space="preserve">: borough analizado</w:t>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tasa histórica utiliza incidentes con respuesta válida. La tasa simulada utiliza llamadas con al menos 480 segundos de seguimiento; las que no llegan antes del umbral cuentan como incumplidas. Estas tasas se presentan por separado porque sus denominadores difieren.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medida complementaria compara las medias zonales de respuesta: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m:oMath>
        <m:r>
          <w:rPr>
            <w:rFonts w:ascii="Times New Roman" w:cs="Times New Roman" w:eastAsia="Times New Roman" w:hAnsi="Times New Roman"/>
          </w:rPr>
          <m:t xml:space="preserve">Brecha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max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min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oMath>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m:oMath>
        <m:r>
          <w:rPr>
            <w:rFonts w:ascii="Times New Roman" w:cs="Times New Roman" w:eastAsia="Times New Roman" w:hAnsi="Times New Roman"/>
          </w:rPr>
          <m:t xml:space="preserve">Razón disparidad = </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max</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num>
          <m:den>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min</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den>
        </m:f>
      </m:oMath>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360" w:lineRule="auto"/>
        <w:jc w:val="both"/>
        <w:rPr>
          <w:rFonts w:ascii="Times New Roman" w:cs="Times New Roman" w:eastAsia="Times New Roman" w:hAnsi="Times New Roman"/>
          <w:color w:val="000000"/>
          <w:sz w:val="22"/>
          <w:szCs w:val="22"/>
        </w:rPr>
      </w:pPr>
      <w:bookmarkStart w:colFirst="0" w:colLast="0" w:name="_atocaxo0es5y" w:id="20"/>
      <w:bookmarkEnd w:id="20"/>
      <w:r w:rsidDel="00000000" w:rsidR="00000000" w:rsidRPr="00000000">
        <w:rPr>
          <w:rFonts w:ascii="Times New Roman" w:cs="Times New Roman" w:eastAsia="Times New Roman" w:hAnsi="Times New Roman"/>
          <w:color w:val="000000"/>
          <w:sz w:val="22"/>
          <w:szCs w:val="22"/>
          <w:rtl w:val="0"/>
        </w:rPr>
        <w:t xml:space="preserve">Una razón próxima a 1 indica medias similares, sin demostrar por sí sola equidad. No se calcula con mínimo cero ni con menos de dos zonas válidas; cada indicador se acompaña de tamaño de muestra y composición de casos.</w:t>
      </w:r>
    </w:p>
    <w:p w:rsidR="00000000" w:rsidDel="00000000" w:rsidP="00000000" w:rsidRDefault="00000000" w:rsidRPr="00000000" w14:paraId="0000007B">
      <w:pPr>
        <w:pStyle w:val="Heading3"/>
        <w:keepNext w:val="0"/>
        <w:keepLines w:val="0"/>
        <w:spacing w:after="240" w:before="240" w:line="360" w:lineRule="auto"/>
        <w:jc w:val="both"/>
        <w:rPr>
          <w:rFonts w:ascii="Times New Roman" w:cs="Times New Roman" w:eastAsia="Times New Roman" w:hAnsi="Times New Roman"/>
          <w:color w:val="000000"/>
          <w:sz w:val="22"/>
          <w:szCs w:val="22"/>
        </w:rPr>
      </w:pPr>
      <w:bookmarkStart w:colFirst="0" w:colLast="0" w:name="_gfzqdfupo1oz" w:id="21"/>
      <w:bookmarkEnd w:id="21"/>
      <w:r w:rsidDel="00000000" w:rsidR="00000000" w:rsidRPr="00000000">
        <w:rPr>
          <w:rFonts w:ascii="Times New Roman" w:cs="Times New Roman" w:eastAsia="Times New Roman" w:hAnsi="Times New Roman"/>
          <w:color w:val="000000"/>
          <w:sz w:val="22"/>
          <w:szCs w:val="22"/>
          <w:rtl w:val="0"/>
        </w:rPr>
        <w:t xml:space="preserve">El fundamento empírico para incorporar esta dimensión está dado por la evidencia de </w:t>
      </w:r>
      <w:hyperlink r:id="rId55">
        <w:r w:rsidDel="00000000" w:rsidR="00000000" w:rsidRPr="00000000">
          <w:rPr>
            <w:rFonts w:ascii="Times New Roman" w:cs="Times New Roman" w:eastAsia="Times New Roman" w:hAnsi="Times New Roman"/>
            <w:color w:val="000000"/>
            <w:sz w:val="22"/>
            <w:szCs w:val="22"/>
            <w:rtl w:val="0"/>
          </w:rPr>
          <w:t xml:space="preserve">(Hsia et al., 2018)</w:t>
        </w:r>
      </w:hyperlink>
      <w:r w:rsidDel="00000000" w:rsidR="00000000" w:rsidRPr="00000000">
        <w:rPr>
          <w:rFonts w:ascii="Times New Roman" w:cs="Times New Roman" w:eastAsia="Times New Roman" w:hAnsi="Times New Roman"/>
          <w:color w:val="000000"/>
          <w:sz w:val="22"/>
          <w:szCs w:val="22"/>
          <w:rtl w:val="0"/>
        </w:rPr>
        <w:t xml:space="preserve"> y </w:t>
      </w:r>
      <w:hyperlink r:id="rId56">
        <w:r w:rsidDel="00000000" w:rsidR="00000000" w:rsidRPr="00000000">
          <w:rPr>
            <w:rFonts w:ascii="Times New Roman" w:cs="Times New Roman" w:eastAsia="Times New Roman" w:hAnsi="Times New Roman"/>
            <w:color w:val="000000"/>
            <w:sz w:val="22"/>
            <w:szCs w:val="22"/>
            <w:rtl w:val="0"/>
          </w:rPr>
          <w:t xml:space="preserve">(Verma et al., 2023)</w:t>
        </w:r>
      </w:hyperlink>
      <w:r w:rsidDel="00000000" w:rsidR="00000000" w:rsidRPr="00000000">
        <w:rPr>
          <w:rFonts w:ascii="Times New Roman" w:cs="Times New Roman" w:eastAsia="Times New Roman" w:hAnsi="Times New Roman"/>
          <w:color w:val="000000"/>
          <w:sz w:val="22"/>
          <w:szCs w:val="22"/>
          <w:rtl w:val="0"/>
        </w:rPr>
        <w:t xml:space="preserve">, quienes identificaron asociaciones significativas entre nivel socioeconómico y tiempos EMS. Asimismo, </w:t>
      </w:r>
      <w:hyperlink r:id="rId57">
        <w:r w:rsidDel="00000000" w:rsidR="00000000" w:rsidRPr="00000000">
          <w:rPr>
            <w:rFonts w:ascii="Times New Roman" w:cs="Times New Roman" w:eastAsia="Times New Roman" w:hAnsi="Times New Roman"/>
            <w:color w:val="000000"/>
            <w:sz w:val="22"/>
            <w:szCs w:val="22"/>
            <w:rtl w:val="0"/>
          </w:rPr>
          <w:t xml:space="preserve">(Gago-Carro et al., 2024)</w:t>
        </w:r>
      </w:hyperlink>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demuestran desde la investigación de operaciones que una función orientada a equidad puede mejorar sustancialmente la atención de territorios históricamente desfavorecidos.</w:t>
      </w:r>
    </w:p>
    <w:p w:rsidR="00000000" w:rsidDel="00000000" w:rsidP="00000000" w:rsidRDefault="00000000" w:rsidRPr="00000000" w14:paraId="0000007C">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g1o2vx8kp96z" w:id="22"/>
      <w:bookmarkEnd w:id="22"/>
      <w:r w:rsidDel="00000000" w:rsidR="00000000" w:rsidRPr="00000000">
        <w:rPr>
          <w:rFonts w:ascii="Times New Roman" w:cs="Times New Roman" w:eastAsia="Times New Roman" w:hAnsi="Times New Roman"/>
          <w:color w:val="000000"/>
          <w:sz w:val="22"/>
          <w:szCs w:val="22"/>
          <w:rtl w:val="0"/>
        </w:rPr>
        <w:t xml:space="preserve">Por lo tanto, el tiempo promedio de respuesta debe ser complementado con análisis estratificados. Si las ganancias se acumulan en sectores que ya contaban con una cobertura elevada, es posible que una intervención disminuya el promedio urbano y, a la vez, genere un incremento de la desigualdad. Por lo tanto, el Digital Twin sugerido analiza la eficiencia absoluta y la distribución territorial del rendimiento simulado sin prever mejoras.</w:t>
      </w:r>
      <w:r w:rsidDel="00000000" w:rsidR="00000000" w:rsidRPr="00000000">
        <w:rPr>
          <w:rtl w:val="0"/>
        </w:rPr>
      </w:r>
    </w:p>
    <w:p w:rsidR="00000000" w:rsidDel="00000000" w:rsidP="00000000" w:rsidRDefault="00000000" w:rsidRPr="00000000" w14:paraId="0000007D">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xuwhwb3wi9bw" w:id="23"/>
      <w:bookmarkEnd w:id="23"/>
      <w:r w:rsidDel="00000000" w:rsidR="00000000" w:rsidRPr="00000000">
        <w:rPr>
          <w:rFonts w:ascii="Times New Roman" w:cs="Times New Roman" w:eastAsia="Times New Roman" w:hAnsi="Times New Roman"/>
          <w:b w:val="1"/>
          <w:bCs w:val="1"/>
          <w:color w:val="000000"/>
          <w:sz w:val="26"/>
          <w:szCs w:val="26"/>
          <w:rtl w:val="0"/>
        </w:rPr>
        <w:t xml:space="preserve">3.7. Modelo conceptual integrador</w:t>
      </w:r>
    </w:p>
    <w:p w:rsidR="00000000" w:rsidDel="00000000" w:rsidP="00000000" w:rsidRDefault="00000000" w:rsidRPr="00000000" w14:paraId="0000007E">
      <w:pPr>
        <w:pStyle w:val="Heading3"/>
        <w:spacing w:line="360" w:lineRule="auto"/>
        <w:rPr>
          <w:rFonts w:ascii="Times New Roman" w:cs="Times New Roman" w:eastAsia="Times New Roman" w:hAnsi="Times New Roman"/>
          <w:color w:val="000000"/>
          <w:sz w:val="22"/>
          <w:szCs w:val="22"/>
        </w:rPr>
      </w:pPr>
      <w:bookmarkStart w:colFirst="0" w:colLast="0" w:name="_727xf5upslt6" w:id="24"/>
      <w:bookmarkEnd w:id="24"/>
      <w:r w:rsidDel="00000000" w:rsidR="00000000" w:rsidRPr="00000000">
        <w:rPr>
          <w:rFonts w:ascii="Times New Roman" w:cs="Times New Roman" w:eastAsia="Times New Roman" w:hAnsi="Times New Roman"/>
          <w:color w:val="000000"/>
          <w:sz w:val="22"/>
          <w:szCs w:val="22"/>
          <w:rtl w:val="0"/>
        </w:rPr>
        <w:t xml:space="preserve">Basándose en los fundamentos mencionados anteriormente, el marco teórico de la investigación puede resumirse a través de la próxima secuencia analítica y de simulación: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17579" cy="4233863"/>
            <wp:effectExtent b="0" l="0" r="0" t="0"/>
            <wp:docPr id="2"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2817579"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Digital Twin funciona como una conexión entre todas estas capas mediante actualizaciones de la simulación. Los datos históricos alimentan las llegadas para que el modelo predictivo anticipe la demanda; las reglas de decisión proponen redistribuciones; el simulador estima sus consecuencias; y las métricas de desempeño evalúan eficiencia y diferencias territoriales.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este estudio no consiste simplemente en utilizar la IA, optimización o simulación por separado, sino en integrarlas para que ayuden a la toma de decisiones EMS basado en simulación, en el cual la distribución futura de la demanda modifica la posición de los recursos y las decisiones son evaluadas no solo por su efecto en el tiempo, sino que también por cómo se distribuye el desempeño entre zonas. No se asume una reducción ni se atribuyen efectos sobre la desigualdad socioeconómica.</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fuente es FDNY, EMS Incident Dispatch Data, con 405 998 registros originales de abril a junio de 2026. La API se utiliza para adquisición; la limpieza y los experimentos trabajan sobre una copia local versionada. La cohorte principal excluye transferencias, standby y eventos especiales conocidos, conservando indicadores desconocidos por separado. Los faltantes de respuesta no eliminan automáticamente una llamada de la cohorte de demanda. Los registros no muestran posiciones exactas, identidad y disponibilidad de la flota ni destinos hospitalarios: esos límites se mantienen explícitos en el escenario. La vista 3D no representa seguimiento real.</w:t>
      </w:r>
      <w:r w:rsidDel="00000000" w:rsidR="00000000" w:rsidRPr="00000000">
        <w:rPr>
          <w:rtl w:val="0"/>
        </w:rPr>
      </w:r>
    </w:p>
    <w:p w:rsidR="00000000" w:rsidDel="00000000" w:rsidP="00000000" w:rsidRDefault="00000000" w:rsidRPr="00000000" w14:paraId="00000083">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vsid4knaidjg" w:id="25"/>
      <w:bookmarkEnd w:id="25"/>
      <w:r w:rsidDel="00000000" w:rsidR="00000000" w:rsidRPr="00000000">
        <w:rPr>
          <w:rFonts w:ascii="Times New Roman" w:cs="Times New Roman" w:eastAsia="Times New Roman" w:hAnsi="Times New Roman"/>
          <w:b w:val="1"/>
          <w:bCs w:val="1"/>
          <w:color w:val="000000"/>
          <w:sz w:val="26"/>
          <w:szCs w:val="26"/>
          <w:rtl w:val="0"/>
        </w:rPr>
        <w:t xml:space="preserve">3.8. Robustez, limitaciones y transferibilidad de la política dinámica</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arquitectura de decisión para servicios de emergencias médicas requiere revisar sus recomendaciones a las condiciones del escenario. </w:t>
      </w:r>
      <w:hyperlink r:id="rId59">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observaron que, cumpliendo apenas el 60% de los desplazamientos recomendados, los tiempos de respuesta y la cobertura seguían siendo mejores que con una política estática. Este resultado corresponde a la simulación de ese estudio, no a un umbral universal de cumplimiento</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revisión sistemática de </w:t>
      </w:r>
      <w:hyperlink r:id="rId60">
        <w:r w:rsidDel="00000000" w:rsidR="00000000" w:rsidRPr="00000000">
          <w:rPr>
            <w:rFonts w:ascii="Times New Roman" w:cs="Times New Roman" w:eastAsia="Times New Roman" w:hAnsi="Times New Roman"/>
            <w:rtl w:val="0"/>
          </w:rPr>
          <w:t xml:space="preserve">(Soltani et al., 2026)</w:t>
        </w:r>
      </w:hyperlink>
      <w:r w:rsidDel="00000000" w:rsidR="00000000" w:rsidRPr="00000000">
        <w:rPr>
          <w:rFonts w:ascii="Times New Roman" w:cs="Times New Roman" w:eastAsia="Times New Roman" w:hAnsi="Times New Roman"/>
          <w:rtl w:val="0"/>
        </w:rPr>
        <w:t xml:space="preserve"> menciona que estudios de este tipo se realizan en contextos específicos lo que hace difícil generalizar los resultados. Por eso, la fase de validación del gemelo digital debería contemplar escenarios de sensibilidad frente a demanda, flota, tiempos de viaje y duración de ocupación. Estos cambios se expresan como supuestos controlados, sin requerir GPS ni datos de tráfico en tiempo real. Así, la política de despacho predictivo no se evaluaría únicamente por su desempeño esperado, sino también por su capacidad de resistir perturbaciones realistas.</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combina análisis retrospectivo y experimentación computacional; no incluye intervención en ambulancias reales. La calibración contrasta magnitudes no impuestas directamente como entradas y utiliza entrenamiento y validación antes de la prueba. La falta de información completa de flota limita la identificación del escenario: un resultado que cambie sustancialmente con sus supuestos se interpreta como dependiente de ellos. Las conclusiones no demuestran mejoras reales en Nueva York o Trujillo, ni beneficios clínicos; tres meses tampoco establecen generalización anual.</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por personas constituye un componente complementario y utiliza instrumentos específicos. La V de Aiken (1985) aporta evidencia de contenido mediante expertos; el alfa de Cronbach (1951) examina consistencia interna por dimensión de una escala Likert de utilidad percibida; y KR-20, Kuder y Richardson (1937) corresponde a un test de interpretación con ítems correctos e incorrectos. Los instrumentos requieren participantes pertinentes, reglas de puntuación, consentimiento y tratamiento de faltantes e incertidumbre. Estos coeficientes no se calculan sobre las filas EMS ni demuestran exactitud predictiva o beneficio del despacho. Alfa y KR-20 para los mismos ítems dicotómicos no son validaciones independientes.</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transferibilidad se entiende como posibilidad de adaptar el procedimiento a otros datos y parámetros, no como traslado automático de resultados. La aplicación operativa requiere validación contextual y prospectiva, localización y disponibilidad actualizadas de recursos, integración institucional y supervisión humana, aspectos fuera del alcance del artículo.</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Metodología</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Diseño de investigación y fundamento metodológico</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es cuantitativa y aplicada, con análisis retrospectivo de registros administrativos y experimentación computacional. Evalúa si una política asistida por pronósticos de demanda y relocalización reduce la respuesta media simulada frente a una política reactiva. Se distinguen cuatro unidades de análisis: incidente para los datos históricos, celda borough-hora para el pronóstico, par de réplicas para comparar políticas y persona para evaluar instrumentos. No se interviene en un servicio real.</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adapta la evaluación temporal de </w:t>
      </w:r>
      <w:hyperlink r:id="rId61">
        <w:r w:rsidDel="00000000" w:rsidR="00000000" w:rsidRPr="00000000">
          <w:rPr>
            <w:rFonts w:ascii="Times New Roman" w:cs="Times New Roman" w:eastAsia="Times New Roman" w:hAnsi="Times New Roman"/>
            <w:rtl w:val="0"/>
          </w:rPr>
          <w:t xml:space="preserve">(Monks et al., 2023)</w:t>
        </w:r>
      </w:hyperlink>
      <w:r w:rsidDel="00000000" w:rsidR="00000000" w:rsidRPr="00000000">
        <w:rPr>
          <w:rFonts w:ascii="Times New Roman" w:cs="Times New Roman" w:eastAsia="Times New Roman" w:hAnsi="Times New Roman"/>
          <w:rtl w:val="0"/>
        </w:rPr>
        <w:t xml:space="preserve">, la conexión entre pronóstico y simulación de </w:t>
      </w:r>
      <w:hyperlink r:id="rId62">
        <w:r w:rsidDel="00000000" w:rsidR="00000000" w:rsidRPr="00000000">
          <w:rPr>
            <w:rFonts w:ascii="Times New Roman" w:cs="Times New Roman" w:eastAsia="Times New Roman" w:hAnsi="Times New Roman"/>
            <w:rtl w:val="0"/>
          </w:rPr>
          <w:t xml:space="preserve">(Matteson et al., 2011)</w:t>
        </w:r>
      </w:hyperlink>
      <w:r w:rsidDel="00000000" w:rsidR="00000000" w:rsidRPr="00000000">
        <w:rPr>
          <w:rFonts w:ascii="Times New Roman" w:cs="Times New Roman" w:eastAsia="Times New Roman" w:hAnsi="Times New Roman"/>
          <w:rtl w:val="0"/>
        </w:rPr>
        <w:t xml:space="preserve"> y la comparación de escenarios de </w:t>
      </w:r>
      <w:hyperlink r:id="rId63">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 </w:t>
      </w:r>
      <w:hyperlink r:id="rId64">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La exactitud predictiva, el desempeño simulado y la evaluación instrumental se analizan por separado.</w:t>
      </w: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Fuente de datos, población y selección de registros</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Fuente de datos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EMS Incident Dispatch Data de FDNY, adquirido mediante la API de Socrata y almacenado localmente. La copia corresponde a la extracción del 9 de septiembre de 2026. Se adopta la convención de hora local de Nueva York, conservando las fechas originales.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Población, muestra y muestreo</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accesible son los 405 998 incidentes publicados con fecha de creación entre el 1 de abril y el 30 de junio de 2026, disponibles en dicha extracción. La unidad de origen es el incidente, no el paciente ni el recorrido de una ambulancia. Se realiza un análisis censal de la ventana seleccionada, sin extraer una muestra aleatoria de filas ni calcular un tamaño muestral para los incidentes. La selección temporal es intencional y no garantiza representatividad anual. El conjunto analítico final queda definido por los criterios de calidad y elegibilidad de cada cohorte.</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Criterios de selección y procesamiento de datos</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preparación verifica tipos, faltantes, identificadores, duplicados, cobertura temporal, categorías y coherencia de duraciones. Se eliminan copias exactas redundantes y se separan identificadores conflictivos sin elegir arbitrariamente una versión. Los originales permanecen inalterados y se registran los motivos de exclusión.</w:t>
      </w:r>
    </w:p>
    <w:tbl>
      <w:tblPr>
        <w:tblStyle w:val="Table1"/>
        <w:tblW w:w="91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805"/>
        <w:gridCol w:w="1950"/>
        <w:tblGridChange w:id="0">
          <w:tblGrid>
            <w:gridCol w:w="1440"/>
            <w:gridCol w:w="5805"/>
            <w:gridCol w:w="1950"/>
          </w:tblGrid>
        </w:tblGridChange>
      </w:tblGrid>
      <w:tr>
        <w:trPr>
          <w:cantSplit w:val="0"/>
          <w:tblHeader w:val="0"/>
        </w:trPr>
        <w:tc>
          <w:tcPr/>
          <w:p w:rsidR="00000000" w:rsidDel="00000000" w:rsidP="00000000" w:rsidRDefault="00000000" w:rsidRPr="00000000" w14:paraId="00000094">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Cohorte</w:t>
            </w:r>
          </w:p>
        </w:tc>
        <w:tc>
          <w:tcPr/>
          <w:p w:rsidR="00000000" w:rsidDel="00000000" w:rsidP="00000000" w:rsidRDefault="00000000" w:rsidRPr="00000000" w14:paraId="00000095">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principal</w:t>
            </w:r>
          </w:p>
        </w:tc>
        <w:tc>
          <w:tcPr/>
          <w:p w:rsidR="00000000" w:rsidDel="00000000" w:rsidP="00000000" w:rsidRDefault="00000000" w:rsidRPr="00000000" w14:paraId="00000096">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blHeader w:val="0"/>
        </w:trPr>
        <w:tc>
          <w:tcPr/>
          <w:p w:rsidR="00000000" w:rsidDel="00000000" w:rsidP="00000000" w:rsidRDefault="00000000" w:rsidRPr="00000000" w14:paraId="0000009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Aceptados</w:t>
            </w:r>
          </w:p>
        </w:tc>
        <w:tc>
          <w:tcPr/>
          <w:p w:rsidR="00000000" w:rsidDel="00000000" w:rsidP="00000000" w:rsidRDefault="00000000" w:rsidRPr="00000000" w14:paraId="0000009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y fecha válidos, dentro de la ventana y sin conflicto</w:t>
            </w:r>
          </w:p>
        </w:tc>
        <w:tc>
          <w:tcPr/>
          <w:p w:rsidR="00000000" w:rsidDel="00000000" w:rsidP="00000000" w:rsidRDefault="00000000" w:rsidRPr="00000000" w14:paraId="00000099">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y reconciliación</w:t>
            </w:r>
          </w:p>
        </w:tc>
      </w:tr>
      <w:tr>
        <w:trPr>
          <w:cantSplit w:val="0"/>
          <w:tblHeader w:val="0"/>
        </w:trPr>
        <w:tc>
          <w:tcPr/>
          <w:p w:rsidR="00000000" w:rsidDel="00000000" w:rsidP="00000000" w:rsidRDefault="00000000" w:rsidRPr="00000000" w14:paraId="0000009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w:t>
            </w:r>
          </w:p>
        </w:tc>
        <w:tc>
          <w:tcPr/>
          <w:p w:rsidR="00000000" w:rsidDel="00000000" w:rsidP="00000000" w:rsidRDefault="00000000" w:rsidRPr="00000000" w14:paraId="0000009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Aceptados con transferencia, standby y evento especial explícitamente negativos</w:t>
            </w:r>
          </w:p>
        </w:tc>
        <w:tc>
          <w:tcPr/>
          <w:p w:rsidR="00000000" w:rsidDel="00000000" w:rsidP="00000000" w:rsidRDefault="00000000" w:rsidRPr="00000000" w14:paraId="0000009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Llegadas y conteos</w:t>
            </w:r>
          </w:p>
        </w:tc>
      </w:tr>
      <w:tr>
        <w:trPr>
          <w:cantSplit w:val="0"/>
          <w:tblHeader w:val="0"/>
        </w:trPr>
        <w:tc>
          <w:tcPr/>
          <w:p w:rsidR="00000000" w:rsidDel="00000000" w:rsidP="00000000" w:rsidRDefault="00000000" w:rsidRPr="00000000" w14:paraId="0000009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zonal</w:t>
            </w:r>
          </w:p>
        </w:tc>
        <w:tc>
          <w:tcPr/>
          <w:p w:rsidR="00000000" w:rsidDel="00000000" w:rsidP="00000000" w:rsidRDefault="00000000" w:rsidRPr="00000000" w14:paraId="0000009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 con borough verificado</w:t>
            </w:r>
          </w:p>
        </w:tc>
        <w:tc>
          <w:tcPr/>
          <w:p w:rsidR="00000000" w:rsidDel="00000000" w:rsidP="00000000" w:rsidRDefault="00000000" w:rsidRPr="00000000" w14:paraId="0000009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Pronóstico por zona</w:t>
            </w:r>
          </w:p>
        </w:tc>
      </w:tr>
      <w:tr>
        <w:trPr>
          <w:cantSplit w:val="0"/>
          <w:tblHeader w:val="0"/>
        </w:trPr>
        <w:tc>
          <w:tcPr/>
          <w:p w:rsidR="00000000" w:rsidDel="00000000" w:rsidP="00000000" w:rsidRDefault="00000000" w:rsidRPr="00000000" w14:paraId="000000A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o despacho</w:t>
            </w:r>
          </w:p>
        </w:tc>
        <w:tc>
          <w:tcPr/>
          <w:p w:rsidR="00000000" w:rsidDel="00000000" w:rsidP="00000000" w:rsidRDefault="00000000" w:rsidRPr="00000000" w14:paraId="000000A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 con bandera válida y fechas y duración coherentes para el intervalo correspondiente</w:t>
            </w:r>
          </w:p>
        </w:tc>
        <w:tc>
          <w:tcPr/>
          <w:p w:rsidR="00000000" w:rsidDel="00000000" w:rsidP="00000000" w:rsidRDefault="00000000" w:rsidRPr="00000000" w14:paraId="000000A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Caracterización y calibración</w:t>
            </w:r>
          </w:p>
        </w:tc>
      </w:tr>
    </w:tbl>
    <w:p w:rsidR="00000000" w:rsidDel="00000000" w:rsidP="00000000" w:rsidRDefault="00000000" w:rsidRPr="00000000" w14:paraId="000000A3">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banderas desconocidas se contabilizan separadamente. Una respuesta inválida no elimina el incidente de la demanda; tampoco se excluyen automáticamente esperas o reaperturas. Las zonas desconocidas no se distribuyen artificialmente. No se imputan tiempos objetivo ni se eliminan valores extremos temporalmente coherentes. Se informa el tamaño final por cohorte, mes y territorio. Las reglas detalladas y la trazabilidad de extracción se mantienen en la documentación técnica complementaria del estudio.</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Desarrollo y validación de los modelos predictivos</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objetivo es el número de llamadas por borough durante la siguiente hora. Se construyen variables de calendario, zona, rezagos de 1, 24 y 168 horas y medias móviles de 24 y 168 horas, exclusivamente con intervalos anteriores al pronóstico. Las primeras 168 horas se reservan para formar características. Solo se completan conteos con cero cuando la cobertura de fuente es verificable; los periodos sin cobertura permanecen faltantes.</w:t>
      </w:r>
      <w:r w:rsidDel="00000000" w:rsidR="00000000" w:rsidRPr="00000000">
        <w:rPr>
          <w:rtl w:val="0"/>
        </w:rPr>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2970"/>
        <w:gridCol w:w="4365"/>
        <w:tblGridChange w:id="0">
          <w:tblGrid>
            <w:gridCol w:w="1725"/>
            <w:gridCol w:w="2970"/>
            <w:gridCol w:w="4365"/>
          </w:tblGrid>
        </w:tblGridChange>
      </w:tblGrid>
      <w:tr>
        <w:trPr>
          <w:cantSplit w:val="0"/>
          <w:tblHeader w:val="0"/>
        </w:trPr>
        <w:tc>
          <w:tcPr/>
          <w:p w:rsidR="00000000" w:rsidDel="00000000" w:rsidP="00000000" w:rsidRDefault="00000000" w:rsidRPr="00000000" w14:paraId="000000A7">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Partición</w:t>
            </w:r>
          </w:p>
        </w:tc>
        <w:tc>
          <w:tcPr/>
          <w:p w:rsidR="00000000" w:rsidDel="00000000" w:rsidP="00000000" w:rsidRDefault="00000000" w:rsidRPr="00000000" w14:paraId="000000A8">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Periodo de 2026</w:t>
            </w:r>
          </w:p>
        </w:tc>
        <w:tc>
          <w:tcPr/>
          <w:p w:rsidR="00000000" w:rsidDel="00000000" w:rsidP="00000000" w:rsidRDefault="00000000" w:rsidRPr="00000000" w14:paraId="000000A9">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Finalidad</w:t>
            </w:r>
          </w:p>
        </w:tc>
      </w:tr>
      <w:tr>
        <w:trPr>
          <w:cantSplit w:val="0"/>
          <w:tblHeader w:val="0"/>
        </w:trPr>
        <w:tc>
          <w:tcPr/>
          <w:p w:rsidR="00000000" w:rsidDel="00000000" w:rsidP="00000000" w:rsidRDefault="00000000" w:rsidRPr="00000000" w14:paraId="000000A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Entrenamiento</w:t>
            </w:r>
          </w:p>
        </w:tc>
        <w:tc>
          <w:tcPr/>
          <w:p w:rsidR="00000000" w:rsidDel="00000000" w:rsidP="00000000" w:rsidRDefault="00000000" w:rsidRPr="00000000" w14:paraId="000000A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 abril–15 de mayo</w:t>
            </w:r>
          </w:p>
        </w:tc>
        <w:tc>
          <w:tcPr/>
          <w:p w:rsidR="00000000" w:rsidDel="00000000" w:rsidP="00000000" w:rsidRDefault="00000000" w:rsidRPr="00000000" w14:paraId="000000A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de transformaciones y modelos</w:t>
            </w:r>
          </w:p>
        </w:tc>
      </w:tr>
      <w:tr>
        <w:trPr>
          <w:cantSplit w:val="0"/>
          <w:tblHeader w:val="0"/>
        </w:trPr>
        <w:tc>
          <w:tcPr/>
          <w:p w:rsidR="00000000" w:rsidDel="00000000" w:rsidP="00000000" w:rsidRDefault="00000000" w:rsidRPr="00000000" w14:paraId="000000A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w:t>
            </w:r>
          </w:p>
        </w:tc>
        <w:tc>
          <w:tcPr/>
          <w:p w:rsidR="00000000" w:rsidDel="00000000" w:rsidP="00000000" w:rsidRDefault="00000000" w:rsidRPr="00000000" w14:paraId="000000A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16–31 de mayo</w:t>
            </w:r>
          </w:p>
        </w:tc>
        <w:tc>
          <w:tcPr/>
          <w:p w:rsidR="00000000" w:rsidDel="00000000" w:rsidP="00000000" w:rsidRDefault="00000000" w:rsidRPr="00000000" w14:paraId="000000A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del modelo y configuración</w:t>
            </w:r>
          </w:p>
        </w:tc>
      </w:tr>
      <w:tr>
        <w:trPr>
          <w:cantSplit w:val="0"/>
          <w:tblHeader w:val="0"/>
        </w:trPr>
        <w:tc>
          <w:tcPr/>
          <w:p w:rsidR="00000000" w:rsidDel="00000000" w:rsidP="00000000" w:rsidRDefault="00000000" w:rsidRPr="00000000" w14:paraId="000000B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w:t>
            </w:r>
          </w:p>
        </w:tc>
        <w:tc>
          <w:tcPr/>
          <w:p w:rsidR="00000000" w:rsidDel="00000000" w:rsidP="00000000" w:rsidRDefault="00000000" w:rsidRPr="00000000" w14:paraId="000000B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 de junio</w:t>
            </w:r>
          </w:p>
        </w:tc>
        <w:tc>
          <w:tcPr/>
          <w:p w:rsidR="00000000" w:rsidDel="00000000" w:rsidP="00000000" w:rsidRDefault="00000000" w:rsidRPr="00000000" w14:paraId="000000B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temporal con parámetros congelados</w:t>
            </w:r>
          </w:p>
        </w:tc>
      </w:tr>
    </w:tbl>
    <w:p w:rsidR="00000000" w:rsidDel="00000000" w:rsidP="00000000" w:rsidRDefault="00000000" w:rsidRPr="00000000" w14:paraId="000000B3">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comparan persistencia semanal, promedio histórico por borough, día y hora, y regresión de Poisson con enlace logarítmico. Las transformaciones se ajustan con entrenamiento y cualquier búsqueda de características o regularización se limita a validación. Se selecciona por MAE global, favoreciendo simplicidad en empate. En prueba se emiten pronósticos horarios sucesivos: pueden utilizar conteos de horas ya terminadas, nunca información futura. Se asume disponibilidad del conteo al cierre de cada hora, sin atribuir funcionamiento en tiempo real a la API pública.</w:t>
      </w:r>
    </w:p>
    <w:p w:rsidR="00000000" w:rsidDel="00000000" w:rsidP="00000000" w:rsidRDefault="00000000" w:rsidRPr="00000000" w14:paraId="000000B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celdas válidas, conteos observados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y pronósticos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se calculan:</w:t>
      </w:r>
    </w:p>
    <w:p w:rsidR="00000000" w:rsidDel="00000000" w:rsidP="00000000" w:rsidRDefault="00000000" w:rsidRPr="00000000" w14:paraId="000000B6">
      <w:pPr>
        <w:spacing w:after="200" w:line="24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sz w:val="24"/>
            <w:szCs w:val="24"/>
          </w:rPr>
          <m:t xml:space="preserve">MAE=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r>
          <w:rPr>
            <w:rFonts w:ascii="Times New Roman" w:cs="Times New Roman" w:eastAsia="Times New Roman" w:hAnsi="Times New Roman"/>
            <w:sz w:val="24"/>
            <w:szCs w:val="24"/>
          </w:rPr>
          <m:t xml:space="preserve">,  RMSE=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,  WAPE=100</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reportan métricas globales y zonales sobre las mismas celdas; WAPE no se calcula con total observado cero. Las diferencias de MAE se acompañan de intervalos del 95 % mediante 2 000 remuestreos de bloques temporales, compartidos entre zonas y modelos. La longitud de bloque se fija con validación para conservar la dependencia temporal.</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Modelo de simulación: verificación y validación</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simulador incorpora llegadas históricas elegibles y representa asignación, desplazamiento, ocupación y liberación de recursos en pasos de un minuto. Genera sus propios tiempos de respuesta; los históricos se reservan para caracterización y contraste. La geografía externa se versiona y las posiciones representativas no se presentan como coordenadas observadas ni GPS.Los datos que no se tienen presentes se dejan como supuestos. Cuando un incidente se cierra no significa que se libera una unidad.</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Sargent (2013), la verificación demuestra la conservación de recursos, asignaciones compatibles, secuencias temporales, colas y contabilización de incidentes. La calibración ajusta componentes con entrenamiento y verifica respuesta, mediana y P90 por zona y franja en validación, sobre magnitudes que no están como entradas</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prueba se fijan flota, geografía, tiempos, liberación, prioridades, desempates, calentamiento, corte final y tolerancias de calibración. La política reactiva es un comparador experimental, no una reconstrucción comprobada del despacho FDNY. Si el contraste no respalda la plausibilidad del escenario, la comparación se interpreta como exploratoria.</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Escenarios experimentales y análisis estadístico</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4.5.1. </w:t>
      </w:r>
      <w:r w:rsidDel="00000000" w:rsidR="00000000" w:rsidRPr="00000000">
        <w:rPr>
          <w:rFonts w:ascii="Times New Roman" w:cs="Times New Roman" w:eastAsia="Times New Roman" w:hAnsi="Times New Roman"/>
          <w:b w:val="1"/>
          <w:bCs w:val="1"/>
          <w:rtl w:val="0"/>
        </w:rPr>
        <w:t xml:space="preserve">Escenarios y réplicas</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compararon dos políticas que tengan unas mismas reglas de elegibilidad y prioridad: A, reactiva, asigna la unidad disponible con menor tiempo estimado de llegada; B, asistida, combina tiempo de llegada, demanda prevista en origen y cobertura residual mediante una puntuación heurística y relocalización periódica. Sus pesos y restricciones se fijan con validación. Reubicar lleva tiempo y cambia la disponibilidad.</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parte de 30 pares y se fija el número definitivo con la variabilidad de validación y una precisión objetivo, antes de prueba. El calentamiento utiliza historia anterior a junio y ambas políticas comparten reglas de vaciado y corte, conservando solicitudes pendientes.</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 Variables de resultado y análisis estadístico</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primaria es la diferencia de respuesta media entre políticas. Para cada incidente con llegada, se calcula el tiempo de respuesta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rtl w:val="0"/>
        </w:rPr>
        <w:t xml:space="preserve">); la diferencia por réplica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rtl w:val="0"/>
        </w:rPr>
        <w:t xml:space="preserve">) y su promedio sobre (m) pares válidos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D</m:t>
            </m:r>
          </m:e>
        </m:bar>
      </m:oMath>
      <w:r w:rsidDel="00000000" w:rsidR="00000000" w:rsidRPr="00000000">
        <w:rPr>
          <w:rFonts w:ascii="Times New Roman" w:cs="Times New Roman" w:eastAsia="Times New Roman" w:hAnsi="Times New Roman"/>
          <w:rtl w:val="0"/>
        </w:rPr>
        <w:t xml:space="preserve">) son:</w:t>
      </w:r>
    </w:p>
    <w:p w:rsidR="00000000" w:rsidDel="00000000" w:rsidP="00000000" w:rsidRDefault="00000000" w:rsidRPr="00000000" w14:paraId="000000C2">
      <w:pPr>
        <w:spacing w:after="20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llegada,i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llamada,i</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R</m:t>
                </m:r>
              </m:e>
            </m:bar>
          </m:e>
          <m:sub>
            <m:r>
              <w:rPr>
                <w:rFonts w:ascii="Times New Roman" w:cs="Times New Roman" w:eastAsia="Times New Roman" w:hAnsi="Times New Roman"/>
                <w:sz w:val="24"/>
                <w:szCs w:val="24"/>
              </w:rPr>
              <m:t xml:space="preserve">B,r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R</m:t>
                </m:r>
              </m:e>
            </m:bar>
          </m:e>
          <m:sub>
            <m:r>
              <w:rPr>
                <w:rFonts w:ascii="Times New Roman" w:cs="Times New Roman" w:eastAsia="Times New Roman" w:hAnsi="Times New Roman"/>
                <w:sz w:val="24"/>
                <w:szCs w:val="24"/>
              </w:rPr>
              <m:t xml:space="preserve">A,r</m:t>
            </m:r>
          </m:sub>
        </m:sSub>
        <m:r>
          <w:rPr>
            <w:rFonts w:ascii="Times New Roman" w:cs="Times New Roman" w:eastAsia="Times New Roman" w:hAnsi="Times New Roman"/>
            <w:sz w:val="24"/>
            <w:szCs w:val="24"/>
          </w:rPr>
          <m:t xml:space="preserve">,  </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D</m:t>
            </m:r>
          </m:e>
        </m:ba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m</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r=1</m:t>
            </m:r>
          </m:sub>
          <m:sup>
            <m:r>
              <w:rPr>
                <w:rFonts w:ascii="Times New Roman" w:cs="Times New Roman" w:eastAsia="Times New Roman" w:hAnsi="Times New Roman"/>
                <w:sz w:val="24"/>
                <w:szCs w:val="24"/>
              </w:rPr>
              <m:t xml:space="preserve">m</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C3">
      <w:pPr>
        <w:spacing w:after="200" w:line="360" w:lineRule="auto"/>
        <w:jc w:val="left"/>
        <w:rPr>
          <w:rFonts w:ascii="Times New Roman" w:cs="Times New Roman" w:eastAsia="Times New Roman" w:hAnsi="Times New Roman"/>
        </w:rPr>
      </w:pP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es la política reactiva,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la asistida y </w:t>
      </w:r>
      <m:oMath>
        <m:r>
          <w:rPr>
            <w:rFonts w:ascii="Times New Roman" w:cs="Times New Roman" w:eastAsia="Times New Roman" w:hAnsi="Times New Roman"/>
          </w:rPr>
          <m:t xml:space="preserve">m</m:t>
        </m:r>
      </m:oMath>
      <w:r w:rsidDel="00000000" w:rsidR="00000000" w:rsidRPr="00000000">
        <w:rPr>
          <w:rFonts w:ascii="Times New Roman" w:cs="Times New Roman" w:eastAsia="Times New Roman" w:hAnsi="Times New Roman"/>
          <w:rtl w:val="0"/>
        </w:rPr>
        <w:t xml:space="preserve"> el número de pares válidos.</w:t>
      </w:r>
    </w:p>
    <w:p w:rsidR="00000000" w:rsidDel="00000000" w:rsidP="00000000" w:rsidRDefault="00000000" w:rsidRPr="00000000" w14:paraId="000000C4">
      <w:pPr>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negativos favorecen</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rtl w:val="0"/>
        </w:rPr>
        <w:t xml:space="preserve"> en respuesta media. Se obtiene un intervalo del 95 % mediante 2 000 remuestreos de pares completos y percentiles 2,5 y 97,5. Esta incertidumbre es condicional a las llegadas históricas y supuestos; incidentes o días contiguos no constituyen réplicas independientes.</w:t>
      </w:r>
      <w:r w:rsidDel="00000000" w:rsidR="00000000" w:rsidRPr="00000000">
        <w:rPr>
          <w:rtl w:val="0"/>
        </w:rPr>
      </w:r>
    </w:p>
    <w:tbl>
      <w:tblPr>
        <w:tblStyle w:val="Table3"/>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835"/>
        <w:tblGridChange w:id="0">
          <w:tblGrid>
            <w:gridCol w:w="3240"/>
            <w:gridCol w:w="5835"/>
          </w:tblGrid>
        </w:tblGridChange>
      </w:tblGrid>
      <w:tr>
        <w:trPr>
          <w:cantSplit w:val="0"/>
          <w:tblHeader w:val="0"/>
        </w:trPr>
        <w:tc>
          <w:tcPr/>
          <w:p w:rsidR="00000000" w:rsidDel="00000000" w:rsidP="00000000" w:rsidRDefault="00000000" w:rsidRPr="00000000" w14:paraId="000000C5">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p>
        </w:tc>
        <w:tc>
          <w:tcPr/>
          <w:p w:rsidR="00000000" w:rsidDel="00000000" w:rsidP="00000000" w:rsidRDefault="00000000" w:rsidRPr="00000000" w14:paraId="000000C6">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Definición</w:t>
            </w:r>
          </w:p>
        </w:tc>
      </w:tr>
      <w:tr>
        <w:trPr>
          <w:cantSplit w:val="0"/>
          <w:tblHeader w:val="0"/>
        </w:trPr>
        <w:tc>
          <w:tcPr/>
          <w:p w:rsidR="00000000" w:rsidDel="00000000" w:rsidP="00000000" w:rsidRDefault="00000000" w:rsidRPr="00000000" w14:paraId="000000C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media, mediana y P90</w:t>
            </w:r>
          </w:p>
        </w:tc>
        <w:tc>
          <w:tcPr/>
          <w:p w:rsidR="00000000" w:rsidDel="00000000" w:rsidP="00000000" w:rsidRDefault="00000000" w:rsidRPr="00000000" w14:paraId="000000C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 menos llamada, en minutos, entre casos con llegada; se informa n</w:t>
            </w:r>
          </w:p>
        </w:tc>
      </w:tr>
      <w:tr>
        <w:trPr>
          <w:cantSplit w:val="0"/>
          <w:tblHeader w:val="0"/>
        </w:trPr>
        <w:tc>
          <w:tcPr/>
          <w:p w:rsidR="00000000" w:rsidDel="00000000" w:rsidP="00000000" w:rsidRDefault="00000000" w:rsidRPr="00000000" w14:paraId="000000C9">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inferior a ocho minutos</w:t>
            </w:r>
          </w:p>
        </w:tc>
        <w:tc>
          <w:tcPr/>
          <w:p w:rsidR="00000000" w:rsidDel="00000000" w:rsidP="00000000" w:rsidRDefault="00000000" w:rsidRPr="00000000" w14:paraId="000000C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llamadas con al menos 480 segundos de seguimiento, proporción con llegada antes de ese umbral</w:t>
            </w:r>
          </w:p>
        </w:tc>
      </w:tr>
      <w:tr>
        <w:trPr>
          <w:cantSplit w:val="0"/>
          <w:tblHeader w:val="0"/>
        </w:trPr>
        <w:tc>
          <w:tcPr/>
          <w:p w:rsidR="00000000" w:rsidDel="00000000" w:rsidP="00000000" w:rsidRDefault="00000000" w:rsidRPr="00000000" w14:paraId="000000C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Fracción sin llegada</w:t>
            </w:r>
          </w:p>
        </w:tc>
        <w:tc>
          <w:tcPr/>
          <w:p w:rsidR="00000000" w:rsidDel="00000000" w:rsidP="00000000" w:rsidRDefault="00000000" w:rsidRPr="00000000" w14:paraId="000000C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Llamadas sin llegada al corte / llamadas admitidas</w:t>
            </w:r>
          </w:p>
        </w:tc>
      </w:tr>
      <w:tr>
        <w:trPr>
          <w:cantSplit w:val="0"/>
          <w:tblHeader w:val="0"/>
        </w:trPr>
        <w:tc>
          <w:tcPr/>
          <w:p w:rsidR="00000000" w:rsidDel="00000000" w:rsidP="00000000" w:rsidRDefault="00000000" w:rsidRPr="00000000" w14:paraId="000000C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Utilización</w:t>
            </w:r>
          </w:p>
        </w:tc>
        <w:tc>
          <w:tcPr/>
          <w:p w:rsidR="00000000" w:rsidDel="00000000" w:rsidP="00000000" w:rsidRDefault="00000000" w:rsidRPr="00000000" w14:paraId="000000C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Minutos-unidad ocupados / minutos-unidad programados</w:t>
            </w:r>
          </w:p>
        </w:tc>
      </w:tr>
      <w:tr>
        <w:trPr>
          <w:cantSplit w:val="0"/>
          <w:tblHeader w:val="0"/>
        </w:trPr>
        <w:tc>
          <w:tcPr/>
          <w:p w:rsidR="00000000" w:rsidDel="00000000" w:rsidP="00000000" w:rsidRDefault="00000000" w:rsidRPr="00000000" w14:paraId="000000C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Brecha territorial</w:t>
            </w:r>
          </w:p>
        </w:tc>
        <w:tc>
          <w:tcPr/>
          <w:p w:rsidR="00000000" w:rsidDel="00000000" w:rsidP="00000000" w:rsidRDefault="00000000" w:rsidRPr="00000000" w14:paraId="000000D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Máxima menos mínima media zonal de respuesta</w:t>
            </w:r>
          </w:p>
        </w:tc>
      </w:tr>
      <w:tr>
        <w:trPr>
          <w:cantSplit w:val="0"/>
          <w:tblHeader w:val="0"/>
        </w:trPr>
        <w:tc>
          <w:tcPr/>
          <w:p w:rsidR="00000000" w:rsidDel="00000000" w:rsidP="00000000" w:rsidRDefault="00000000" w:rsidRPr="00000000" w14:paraId="000000D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Razón de disparidad</w:t>
            </w:r>
          </w:p>
        </w:tc>
        <w:tc>
          <w:tcPr/>
          <w:p w:rsidR="00000000" w:rsidDel="00000000" w:rsidP="00000000" w:rsidRDefault="00000000" w:rsidRPr="00000000" w14:paraId="000000D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Máxima / mínima media zonal; no disponible con mínimo cero o menos de dos zonas válidas</w:t>
            </w:r>
          </w:p>
        </w:tc>
      </w:tr>
    </w:tbl>
    <w:p w:rsidR="00000000" w:rsidDel="00000000" w:rsidP="00000000" w:rsidRDefault="00000000" w:rsidRPr="00000000" w14:paraId="000000D3">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 Análisis de sensibilidad</w:t>
      </w:r>
    </w:p>
    <w:p w:rsidR="00000000" w:rsidDel="00000000" w:rsidP="00000000" w:rsidRDefault="00000000" w:rsidRPr="00000000" w14:paraId="000000D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sensibilidad considera flota, tiempos de viaje y ocupación dentro de límites justificados antes de prueba, manteniendo condiciones emparejadas. Se examinan magnitud, dirección e incertidumbre, incluyendo cambios de signo. Los indicadores secundarios son exploratorios. La agregación territorial, los faltantes, los supuestos de recursos y la ventana trimestral limitan la generalización; las diferencias simuladas no demuestran mejoras operativas o clínicas.</w:t>
      </w:r>
    </w:p>
    <w:p w:rsidR="00000000" w:rsidDel="00000000" w:rsidP="00000000" w:rsidRDefault="00000000" w:rsidRPr="00000000" w14:paraId="000000D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Participantes e instrumentos de evaluación</w:t>
      </w:r>
      <w:r w:rsidDel="00000000" w:rsidR="00000000" w:rsidRPr="00000000">
        <w:rPr>
          <w:rtl w:val="0"/>
        </w:rPr>
      </w:r>
    </w:p>
    <w:p w:rsidR="00000000" w:rsidDel="00000000" w:rsidP="00000000" w:rsidRDefault="00000000" w:rsidRPr="00000000" w14:paraId="000000D7">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4.6.1. Población, muestra y muestreo de participantes</w:t>
      </w:r>
    </w:p>
    <w:p w:rsidR="00000000" w:rsidDel="00000000" w:rsidP="00000000" w:rsidRDefault="00000000" w:rsidRPr="00000000" w14:paraId="000000D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de interés son los adultos que tengan experiencia en gestión de emergencias, simulación, investigación de operaciones o análisis de datos, que puedan interpretar los escenarios del sistema. Se distinguen un panel de expertos, seleccionado mediante muestreo no probabilístico intencional según experiencia pertinente, y un grupo de usuarios para aplicar los instrumentos. La institución o ámbito de reclutamiento delimita la población accesible y debe especificarse antes de la convocatoria. Para usuarios, se documenta el procedimiento efectivo; si es por conveniencia, no se presume representatividad.</w:t>
      </w:r>
    </w:p>
    <w:p w:rsidR="00000000" w:rsidDel="00000000" w:rsidP="00000000" w:rsidRDefault="00000000" w:rsidRPr="00000000" w14:paraId="000000D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tamaño del panel se define según la precisión de V de Aiken y la experiencia que se requiere. La muestra de usuarios se determina según precisión de los coeficientes, número de ítems y factibilidad. Ambos tamaños se fijan antes de la aplicación y se informan por separado; los 405 998 incidentes no constituyen la muestra para evaluar instrumentos.</w:t>
      </w:r>
    </w:p>
    <w:p w:rsidR="00000000" w:rsidDel="00000000" w:rsidP="00000000" w:rsidRDefault="00000000" w:rsidRPr="00000000" w14:paraId="000000DA">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4.6.2. Instrumentos, procedimiento de aplicación y análisis</w:t>
      </w:r>
    </w:p>
    <w:p w:rsidR="00000000" w:rsidDel="00000000" w:rsidP="00000000" w:rsidRDefault="00000000" w:rsidRPr="00000000" w14:paraId="000000D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recolección de información utiliza tres instrumentos: una ficha de juicio de expertos, un cuestionario de utilidad percibida y una prueba de interpretación de resultados. El cuestionario recoge valoraciones subjetivas mediante encuesta, mientras que la prueba evalúa respuestas a tareas con una clave de corrección. Los coeficientes de Aiken, Cronbach y KR-20 se calculan a partir de las respuestas; no constituyen instrumentos de recolección.</w:t>
      </w:r>
    </w:p>
    <w:p w:rsidR="00000000" w:rsidDel="00000000" w:rsidP="00000000" w:rsidRDefault="00000000" w:rsidRPr="00000000" w14:paraId="000000DC">
      <w:pPr>
        <w:spacing w:after="160" w:line="240" w:lineRule="auto"/>
        <w:rPr>
          <w:rFonts w:ascii="Times New Roman" w:cs="Times New Roman" w:eastAsia="Times New Roman" w:hAnsi="Times New Roman"/>
        </w:rPr>
      </w:pPr>
      <w:r w:rsidDel="00000000" w:rsidR="00000000" w:rsidRPr="00000000">
        <w:rPr>
          <w:rtl w:val="0"/>
        </w:rPr>
      </w:r>
    </w:p>
    <w:tbl>
      <w:tblPr>
        <w:tblStyle w:val="Table4"/>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430"/>
        <w:gridCol w:w="4170"/>
        <w:tblGridChange w:id="0">
          <w:tblGrid>
            <w:gridCol w:w="2010"/>
            <w:gridCol w:w="2430"/>
            <w:gridCol w:w="4170"/>
          </w:tblGrid>
        </w:tblGridChange>
      </w:tblGrid>
      <w:tr>
        <w:trPr>
          <w:cantSplit w:val="0"/>
          <w:tblHeader w:val="0"/>
        </w:trPr>
        <w:tc>
          <w:tcPr/>
          <w:p w:rsidR="00000000" w:rsidDel="00000000" w:rsidP="00000000" w:rsidRDefault="00000000" w:rsidRPr="00000000" w14:paraId="000000DD">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Instrumento</w:t>
            </w:r>
          </w:p>
        </w:tc>
        <w:tc>
          <w:tcPr/>
          <w:p w:rsidR="00000000" w:rsidDel="00000000" w:rsidP="00000000" w:rsidRDefault="00000000" w:rsidRPr="00000000" w14:paraId="000000DE">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Quién responde</w:t>
            </w:r>
          </w:p>
        </w:tc>
        <w:tc>
          <w:tcPr/>
          <w:p w:rsidR="00000000" w:rsidDel="00000000" w:rsidP="00000000" w:rsidRDefault="00000000" w:rsidRPr="00000000" w14:paraId="000000DF">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Contenido y formato</w:t>
            </w:r>
          </w:p>
        </w:tc>
      </w:tr>
      <w:tr>
        <w:trPr>
          <w:cantSplit w:val="0"/>
          <w:tblHeader w:val="0"/>
        </w:trPr>
        <w:tc>
          <w:tcPr/>
          <w:p w:rsidR="00000000" w:rsidDel="00000000" w:rsidP="00000000" w:rsidRDefault="00000000" w:rsidRPr="00000000" w14:paraId="000000E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Ficha de juicio de expertos</w:t>
            </w:r>
          </w:p>
        </w:tc>
        <w:tc>
          <w:tcPr/>
          <w:p w:rsidR="00000000" w:rsidDel="00000000" w:rsidP="00000000" w:rsidRDefault="00000000" w:rsidRPr="00000000" w14:paraId="000000E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expertos</w:t>
            </w:r>
          </w:p>
        </w:tc>
        <w:tc>
          <w:tcPr/>
          <w:p w:rsidR="00000000" w:rsidDel="00000000" w:rsidP="00000000" w:rsidRDefault="00000000" w:rsidRPr="00000000" w14:paraId="000000E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Valoración de claridad, pertinencia y relevancia de cada ítem del cuestionario y de la prueba, de 1 a 4, con observaciones cualitativas</w:t>
            </w:r>
          </w:p>
        </w:tc>
      </w:tr>
      <w:tr>
        <w:trPr>
          <w:cantSplit w:val="0"/>
          <w:tblHeader w:val="0"/>
        </w:trPr>
        <w:tc>
          <w:tcPr/>
          <w:p w:rsidR="00000000" w:rsidDel="00000000" w:rsidP="00000000" w:rsidRDefault="00000000" w:rsidRPr="00000000" w14:paraId="000000E3">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Cuestionario de utilidad percibida</w:t>
            </w:r>
          </w:p>
        </w:tc>
        <w:tc>
          <w:tcPr/>
          <w:p w:rsidR="00000000" w:rsidDel="00000000" w:rsidP="00000000" w:rsidRDefault="00000000" w:rsidRPr="00000000" w14:paraId="000000E4">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 después de realizar tareas en el sistema</w:t>
            </w:r>
          </w:p>
        </w:tc>
        <w:tc>
          <w:tcPr/>
          <w:p w:rsidR="00000000" w:rsidDel="00000000" w:rsidP="00000000" w:rsidRDefault="00000000" w:rsidRPr="00000000" w14:paraId="000000E5">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Afirmaciones sobre la utilidad del sistema para analizar demanda y comparar escenarios, con respuestas Likert de 1 (totalmente en desacuerdo) a 5 (totalmente de acuerdo)</w:t>
            </w:r>
          </w:p>
        </w:tc>
      </w:tr>
      <w:tr>
        <w:trPr>
          <w:cantSplit w:val="0"/>
          <w:tblHeader w:val="0"/>
        </w:trPr>
        <w:tc>
          <w:tcPr/>
          <w:p w:rsidR="00000000" w:rsidDel="00000000" w:rsidP="00000000" w:rsidRDefault="00000000" w:rsidRPr="00000000" w14:paraId="000000E6">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de interpretación de resultados</w:t>
            </w:r>
          </w:p>
        </w:tc>
        <w:tc>
          <w:tcPr/>
          <w:p w:rsidR="00000000" w:rsidDel="00000000" w:rsidP="00000000" w:rsidRDefault="00000000" w:rsidRPr="00000000" w14:paraId="000000E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 ante escenarios e indicadores del sistema</w:t>
            </w:r>
          </w:p>
        </w:tc>
        <w:tc>
          <w:tcPr/>
          <w:p w:rsidR="00000000" w:rsidDel="00000000" w:rsidP="00000000" w:rsidRDefault="00000000" w:rsidRPr="00000000" w14:paraId="000000E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Preguntas sobre demanda, comparación de políticas, tiempos, cobertura e incertidumbre, calificadas como 1 (correcta) o 0 (incorrecta)</w:t>
            </w:r>
          </w:p>
        </w:tc>
      </w:tr>
    </w:tbl>
    <w:p w:rsidR="00000000" w:rsidDel="00000000" w:rsidP="00000000" w:rsidRDefault="00000000" w:rsidRPr="00000000" w14:paraId="000000E9">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Revisión de contenido y prueba piloto.</w:t>
      </w:r>
      <w:r w:rsidDel="00000000" w:rsidR="00000000" w:rsidRPr="00000000">
        <w:rPr>
          <w:rFonts w:ascii="Times New Roman" w:cs="Times New Roman" w:eastAsia="Times New Roman" w:hAnsi="Times New Roman"/>
          <w:rtl w:val="0"/>
        </w:rPr>
        <w:t xml:space="preserve"> Los ítems se vinculan previamente con las dimensiones de utilidad o capacidades de interpretación que pretenden medir. Los expertos revisan ambos instrumentos, incluidos los enunciados, opciones y clave de la prueba. Para cada ítem y criterio se calcula V de Aiken (1985), con (n) jueces y calificación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j</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200"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−1</m:t>
                </m:r>
              </m:e>
            </m:d>
          </m:num>
          <m:den>
            <m:r>
              <w:rPr>
                <w:rFonts w:ascii="Times New Roman" w:cs="Times New Roman" w:eastAsia="Times New Roman" w:hAnsi="Times New Roman"/>
                <w:sz w:val="24"/>
                <w:szCs w:val="24"/>
              </w:rPr>
              <m:t xml:space="preserve">3n</m:t>
            </m:r>
          </m:den>
        </m:f>
      </m:oMath>
      <w:r w:rsidDel="00000000" w:rsidR="00000000" w:rsidRPr="00000000">
        <w:rPr>
          <w:rtl w:val="0"/>
        </w:rPr>
      </w:r>
    </w:p>
    <w:p w:rsidR="00000000" w:rsidDel="00000000" w:rsidP="00000000" w:rsidRDefault="00000000" w:rsidRPr="00000000" w14:paraId="000000E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a usuarios. </w:t>
      </w:r>
      <w:r w:rsidDel="00000000" w:rsidR="00000000" w:rsidRPr="00000000">
        <w:rPr>
          <w:rFonts w:ascii="Times New Roman" w:cs="Times New Roman" w:eastAsia="Times New Roman" w:hAnsi="Times New Roman"/>
          <w:rtl w:val="0"/>
        </w:rPr>
        <w:t xml:space="preserve">Cada participante recibe las mismas instrucciones y realiza una secuencia estandarizada de tareas: consultar demanda por zona, comparar las políticas reactiva y asistida e interpretar indicadores de los escenarios. Después responde individualmente el cuestionario de utilidad percibida y la prueba, con acceso a los resultados necesarios para resolverla y sin ayuda para elegir respuestas. Se registran omisiones y se utiliza una clave de corrección definida previamente. Los ítems, tareas, instrucciones y clave forman parte de la documentación del procedimiento.</w:t>
      </w:r>
    </w:p>
    <w:p w:rsidR="00000000" w:rsidDel="00000000" w:rsidP="00000000" w:rsidRDefault="00000000" w:rsidRPr="00000000" w14:paraId="000000E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w:t>
      </w:r>
      <w:r w:rsidDel="00000000" w:rsidR="00000000" w:rsidRPr="00000000">
        <w:rPr>
          <w:rFonts w:ascii="Times New Roman" w:cs="Times New Roman" w:eastAsia="Times New Roman" w:hAnsi="Times New Roman"/>
          <w:rtl w:val="0"/>
        </w:rPr>
        <w:t xml:space="preserve"> Las respuestas al cuestionario se analizan mediante alfa de Cronbach (1951) por dimensión, mientras que las puntuaciones dicotómicas de la prueba se analizan con KR-20 de Kuder y Richardson (1937):</w:t>
      </w:r>
    </w:p>
    <w:p w:rsidR="00000000" w:rsidDel="00000000" w:rsidP="00000000" w:rsidRDefault="00000000" w:rsidRPr="00000000" w14:paraId="000000EE">
      <w:pPr>
        <w:spacing w:after="200" w:line="240" w:lineRule="auto"/>
        <w:jc w:val="center"/>
        <w:rPr>
          <w:rFonts w:ascii="Times New Roman" w:cs="Times New Roman" w:eastAsia="Times New Roman" w:hAnsi="Times New Roman"/>
          <w:sz w:val="24"/>
          <w:szCs w:val="24"/>
        </w:rPr>
      </w:pPr>
      <m:oMath>
        <m:r>
          <m:t>α</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k−1</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k</m:t>
                    </m:r>
                  </m:sup>
                </m:nary>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2</m:t>
                    </m:r>
                  </m:sup>
                </m:sSubSup>
              </m:num>
              <m:den>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KR</m:t>
            </m:r>
          </m:e>
          <m:sub>
            <m:r>
              <w:rPr>
                <w:rFonts w:ascii="Times New Roman" w:cs="Times New Roman" w:eastAsia="Times New Roman" w:hAnsi="Times New Roman"/>
                <w:sz w:val="24"/>
                <w:szCs w:val="24"/>
              </w:rPr>
              <m:t xml:space="preserve">20</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k−1</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e>
                </m:d>
              </m:num>
              <m:den>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den>
            </m:f>
          </m:e>
        </m:d>
      </m:oMath>
      <w:r w:rsidDel="00000000" w:rsidR="00000000" w:rsidRPr="00000000">
        <w:rPr>
          <w:rtl w:val="0"/>
        </w:rPr>
      </w:r>
    </w:p>
    <w:p w:rsidR="00000000" w:rsidDel="00000000" w:rsidP="00000000" w:rsidRDefault="00000000" w:rsidRPr="00000000" w14:paraId="000000EF">
      <w:pPr>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rtl w:val="0"/>
        </w:rPr>
        <w:t xml:space="preserve">) es el número de ítems,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rtl w:val="0"/>
        </w:rPr>
        <w:t xml:space="preserve">) la proporción correcta,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sup>
            <m:r>
              <w:rPr>
                <w:rFonts w:ascii="Times New Roman" w:cs="Times New Roman" w:eastAsia="Times New Roman" w:hAnsi="Times New Roman"/>
                <w:sz w:val="24"/>
                <w:szCs w:val="24"/>
              </w:rPr>
              <m:t xml:space="preserve">2</m:t>
            </m:r>
          </m:sup>
        </m:sSubSup>
      </m:oMath>
      <w:r w:rsidDel="00000000" w:rsidR="00000000" w:rsidRPr="00000000">
        <w:rPr>
          <w:rFonts w:ascii="Times New Roman" w:cs="Times New Roman" w:eastAsia="Times New Roman" w:hAnsi="Times New Roman"/>
          <w:rtl w:val="0"/>
        </w:rPr>
        <w:t xml:space="preserve">) la varianza muestral y (</w:t>
      </w:r>
      <m:oMath>
        <m:sSubSup>
          <m:sSubSupPr>
            <m:ctrlPr>
              <w:rPr>
                <w:rFonts w:ascii="Times New Roman" w:cs="Times New Roman" w:eastAsia="Times New Roman" w:hAnsi="Times New Roman"/>
                <w:sz w:val="24"/>
                <w:szCs w:val="24"/>
              </w:rPr>
            </m:ctrlPr>
          </m:sSubSupPr>
          <m:e>
            <m:r>
              <m:t>σ</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oMath>
      <w:r w:rsidDel="00000000" w:rsidR="00000000" w:rsidRPr="00000000">
        <w:rPr>
          <w:rFonts w:ascii="Times New Roman" w:cs="Times New Roman" w:eastAsia="Times New Roman" w:hAnsi="Times New Roman"/>
          <w:rtl w:val="0"/>
        </w:rPr>
        <w:t xml:space="preserve">) la varianza poblacional del puntaje total. Se utilizan casos completos por dimensión o prueba, inversiones previamente definidas e intervalos percentiles del 95 % con 2 000 remuestreos de participantes. Se informan exclusiones y remuestreos degenerados; no se calcula con menos de dos ítems, casos insuficientes o varianza total cero. Los faltantes no equivalen a respuestas incorrectas y los coeficientes negativos no se recortan.</w:t>
      </w:r>
    </w:p>
    <w:p w:rsidR="00000000" w:rsidDel="00000000" w:rsidP="00000000" w:rsidRDefault="00000000" w:rsidRPr="00000000" w14:paraId="000000F0">
      <w:pPr>
        <w:spacing w:after="20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Las valoraciones de utilidad y los aciertos de interpretación se describen por separado de los coeficientes. Aiken aporta evidencia de validez de contenido y alfa y KR-20 estiman consistencia interna; no demuestran utilidad elevada, mejora del aprendizaje, exactitud predictiva ni validez del simulador.</w:t>
      </w:r>
      <w:r w:rsidDel="00000000" w:rsidR="00000000" w:rsidRPr="00000000">
        <w:rPr>
          <w:rtl w:val="0"/>
        </w:rPr>
      </w:r>
    </w:p>
    <w:p w:rsidR="00000000" w:rsidDel="00000000" w:rsidP="00000000" w:rsidRDefault="00000000" w:rsidRPr="00000000" w14:paraId="000000F1">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iuck4wn7m7p2" w:id="26"/>
      <w:bookmarkEnd w:id="26"/>
      <w:r w:rsidDel="00000000" w:rsidR="00000000" w:rsidRPr="00000000">
        <w:rPr>
          <w:rtl w:val="0"/>
        </w:rPr>
      </w:r>
    </w:p>
    <w:p w:rsidR="00000000" w:rsidDel="00000000" w:rsidP="00000000" w:rsidRDefault="00000000" w:rsidRPr="00000000" w14:paraId="000000F2">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u91huq3m2cmw" w:id="27"/>
      <w:bookmarkEnd w:id="27"/>
      <w:r w:rsidDel="00000000" w:rsidR="00000000" w:rsidRPr="00000000">
        <w:rPr>
          <w:rtl w:val="0"/>
        </w:rPr>
      </w:r>
    </w:p>
    <w:p w:rsidR="00000000" w:rsidDel="00000000" w:rsidP="00000000" w:rsidRDefault="00000000" w:rsidRPr="00000000" w14:paraId="000000F3">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3fm68c9nfnnn" w:id="28"/>
      <w:bookmarkEnd w:id="28"/>
      <w:r w:rsidDel="00000000" w:rsidR="00000000" w:rsidRPr="00000000">
        <w:rPr>
          <w:rtl w:val="0"/>
        </w:rPr>
      </w:r>
    </w:p>
    <w:p w:rsidR="00000000" w:rsidDel="00000000" w:rsidP="00000000" w:rsidRDefault="00000000" w:rsidRPr="00000000" w14:paraId="000000F4">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9rxbldes9x4q" w:id="29"/>
      <w:bookmarkEnd w:id="29"/>
      <w:r w:rsidDel="00000000" w:rsidR="00000000" w:rsidRPr="00000000">
        <w:rPr>
          <w:rtl w:val="0"/>
        </w:rPr>
      </w:r>
    </w:p>
    <w:p w:rsidR="00000000" w:rsidDel="00000000" w:rsidP="00000000" w:rsidRDefault="00000000" w:rsidRPr="00000000" w14:paraId="000000F5">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gpw1tvjtn269" w:id="30"/>
      <w:bookmarkEnd w:id="30"/>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240" w:before="240" w:lineRule="auto"/>
        <w:jc w:val="both"/>
        <w:rPr>
          <w:rFonts w:ascii="Times New Roman" w:cs="Times New Roman" w:eastAsia="Times New Roman" w:hAnsi="Times New Roman"/>
        </w:rPr>
      </w:pPr>
      <w:bookmarkStart w:colFirst="0" w:colLast="0" w:name="_323l0gnzir9s" w:id="31"/>
      <w:bookmarkEnd w:id="31"/>
      <w:r w:rsidDel="00000000" w:rsidR="00000000" w:rsidRPr="00000000">
        <w:rPr>
          <w:rFonts w:ascii="Times New Roman" w:cs="Times New Roman" w:eastAsia="Times New Roman" w:hAnsi="Times New Roman"/>
          <w:b w:val="1"/>
          <w:bCs w:val="1"/>
          <w:sz w:val="34"/>
          <w:szCs w:val="34"/>
          <w:rtl w:val="0"/>
        </w:rPr>
        <w:t xml:space="preserve">Referencias</w:t>
      </w:r>
      <w:r w:rsidDel="00000000" w:rsidR="00000000" w:rsidRPr="00000000">
        <w:rPr>
          <w:rtl w:val="0"/>
        </w:rPr>
      </w:r>
    </w:p>
    <w:p w:rsidR="00000000" w:rsidDel="00000000" w:rsidP="00000000" w:rsidRDefault="00000000" w:rsidRPr="00000000" w14:paraId="00000116">
      <w:pPr>
        <w:spacing w:after="0" w:before="240" w:line="480" w:lineRule="auto"/>
        <w:ind w:left="720"/>
        <w:jc w:val="both"/>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rtl w:val="0"/>
          </w:rPr>
          <w:t xml:space="preserve">Aboueljinane, L., Sahin, E., &amp; Jemai, Z. (2013). A review on simulation models applied to emergency medical service operations. </w:t>
        </w:r>
      </w:hyperlink>
      <w:hyperlink r:id="rId66">
        <w:r w:rsidDel="00000000" w:rsidR="00000000" w:rsidRPr="00000000">
          <w:rPr>
            <w:rFonts w:ascii="Times New Roman" w:cs="Times New Roman" w:eastAsia="Times New Roman" w:hAnsi="Times New Roman"/>
            <w:i w:val="1"/>
            <w:iCs w:val="1"/>
            <w:rtl w:val="0"/>
          </w:rPr>
          <w:t xml:space="preserve">Computers &amp; Industrial Engineering</w:t>
        </w:r>
      </w:hyperlink>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i w:val="1"/>
            <w:iCs w:val="1"/>
            <w:rtl w:val="0"/>
          </w:rPr>
          <w:t xml:space="preserve">66</w:t>
        </w:r>
      </w:hyperlink>
      <w:hyperlink r:id="rId69">
        <w:r w:rsidDel="00000000" w:rsidR="00000000" w:rsidRPr="00000000">
          <w:rPr>
            <w:rFonts w:ascii="Times New Roman" w:cs="Times New Roman" w:eastAsia="Times New Roman" w:hAnsi="Times New Roman"/>
            <w:rtl w:val="0"/>
          </w:rPr>
          <w:t xml:space="preserve">(4), 734–750. https://doi.org/10.1016/j.cie.2013.09.017 </w:t>
        </w:r>
      </w:hyperlink>
      <w:r w:rsidDel="00000000" w:rsidR="00000000" w:rsidRPr="00000000">
        <w:rPr>
          <w:rtl w:val="0"/>
        </w:rPr>
      </w:r>
    </w:p>
    <w:p w:rsidR="00000000" w:rsidDel="00000000" w:rsidP="00000000" w:rsidRDefault="00000000" w:rsidRPr="00000000" w14:paraId="00000117">
      <w:pPr>
        <w:spacing w:after="0" w:before="240" w:line="480" w:lineRule="auto"/>
        <w:ind w:left="720"/>
        <w:jc w:val="both"/>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rtl w:val="0"/>
          </w:rPr>
          <w:t xml:space="preserve">Al-Shareeda, S., Celik, Y., Bilgili, B., Al-Dubai, A., &amp; Canberk, B. (2025). Accurate AI-Driven Emergency Vehicle Location Tracking in Healthcare ITS’s Digital Twin. </w:t>
        </w:r>
      </w:hyperlink>
      <w:hyperlink r:id="rId71">
        <w:r w:rsidDel="00000000" w:rsidR="00000000" w:rsidRPr="00000000">
          <w:rPr>
            <w:rFonts w:ascii="Times New Roman" w:cs="Times New Roman" w:eastAsia="Times New Roman" w:hAnsi="Times New Roman"/>
            <w:i w:val="1"/>
            <w:iCs w:val="1"/>
            <w:rtl w:val="0"/>
          </w:rPr>
          <w:t xml:space="preserve">2025 5th IEEE Middle East and North Africa Communications Conference (MENACOMM)</w:t>
        </w:r>
      </w:hyperlink>
      <w:hyperlink r:id="rId72">
        <w:r w:rsidDel="00000000" w:rsidR="00000000" w:rsidRPr="00000000">
          <w:rPr>
            <w:rFonts w:ascii="Times New Roman" w:cs="Times New Roman" w:eastAsia="Times New Roman" w:hAnsi="Times New Roman"/>
            <w:rtl w:val="0"/>
          </w:rPr>
          <w:t xml:space="preserve">, 1–8. https://doi.org/10.1109/MENACOMM62946.2025.10910975 </w:t>
        </w:r>
      </w:hyperlink>
      <w:r w:rsidDel="00000000" w:rsidR="00000000" w:rsidRPr="00000000">
        <w:rPr>
          <w:rtl w:val="0"/>
        </w:rPr>
      </w:r>
    </w:p>
    <w:p w:rsidR="00000000" w:rsidDel="00000000" w:rsidP="00000000" w:rsidRDefault="00000000" w:rsidRPr="00000000" w14:paraId="00000118">
      <w:pPr>
        <w:spacing w:after="0" w:before="240" w:line="480" w:lineRule="auto"/>
        <w:ind w:left="720"/>
        <w:jc w:val="both"/>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rtl w:val="0"/>
          </w:rPr>
          <w:t xml:space="preserve">Andersson, T., &amp; Värbrand, P. (2007). Decision support tools for ambulance dispatch and relocation. </w:t>
        </w:r>
      </w:hyperlink>
      <w:hyperlink r:id="rId74">
        <w:r w:rsidDel="00000000" w:rsidR="00000000" w:rsidRPr="00000000">
          <w:rPr>
            <w:rFonts w:ascii="Times New Roman" w:cs="Times New Roman" w:eastAsia="Times New Roman" w:hAnsi="Times New Roman"/>
            <w:i w:val="1"/>
            <w:iCs w:val="1"/>
            <w:rtl w:val="0"/>
          </w:rPr>
          <w:t xml:space="preserve">Journal of the Operational Research Society</w:t>
        </w:r>
      </w:hyperlink>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i w:val="1"/>
            <w:iCs w:val="1"/>
            <w:rtl w:val="0"/>
          </w:rPr>
          <w:t xml:space="preserve">58</w:t>
        </w:r>
      </w:hyperlink>
      <w:hyperlink r:id="rId77">
        <w:r w:rsidDel="00000000" w:rsidR="00000000" w:rsidRPr="00000000">
          <w:rPr>
            <w:rFonts w:ascii="Times New Roman" w:cs="Times New Roman" w:eastAsia="Times New Roman" w:hAnsi="Times New Roman"/>
            <w:rtl w:val="0"/>
          </w:rPr>
          <w:t xml:space="preserve">(2), 195–201. https://doi.org/10.1057/palgrave.jors.2602174 </w:t>
        </w:r>
      </w:hyperlink>
      <w:r w:rsidDel="00000000" w:rsidR="00000000" w:rsidRPr="00000000">
        <w:rPr>
          <w:rtl w:val="0"/>
        </w:rPr>
      </w:r>
    </w:p>
    <w:p w:rsidR="00000000" w:rsidDel="00000000" w:rsidP="00000000" w:rsidRDefault="00000000" w:rsidRPr="00000000" w14:paraId="00000119">
      <w:pPr>
        <w:spacing w:after="0" w:before="240" w:line="480" w:lineRule="auto"/>
        <w:ind w:left="720"/>
        <w:jc w:val="both"/>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rtl w:val="0"/>
          </w:rPr>
          <w:t xml:space="preserve">Batty, M. (2018). Digital twins. </w:t>
        </w:r>
      </w:hyperlink>
      <w:hyperlink r:id="rId79">
        <w:r w:rsidDel="00000000" w:rsidR="00000000" w:rsidRPr="00000000">
          <w:rPr>
            <w:rFonts w:ascii="Times New Roman" w:cs="Times New Roman" w:eastAsia="Times New Roman" w:hAnsi="Times New Roman"/>
            <w:i w:val="1"/>
            <w:iCs w:val="1"/>
            <w:rtl w:val="0"/>
          </w:rPr>
          <w:t xml:space="preserve">Environment and Planning B: Urban Analytics and City Science</w:t>
        </w:r>
      </w:hyperlink>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i w:val="1"/>
            <w:iCs w:val="1"/>
            <w:rtl w:val="0"/>
          </w:rPr>
          <w:t xml:space="preserve">45</w:t>
        </w:r>
      </w:hyperlink>
      <w:hyperlink r:id="rId82">
        <w:r w:rsidDel="00000000" w:rsidR="00000000" w:rsidRPr="00000000">
          <w:rPr>
            <w:rFonts w:ascii="Times New Roman" w:cs="Times New Roman" w:eastAsia="Times New Roman" w:hAnsi="Times New Roman"/>
            <w:rtl w:val="0"/>
          </w:rPr>
          <w:t xml:space="preserve">(5), 817–820. https://doi.org/10.1177/2399808318796416 </w:t>
        </w:r>
      </w:hyperlink>
      <w:r w:rsidDel="00000000" w:rsidR="00000000" w:rsidRPr="00000000">
        <w:rPr>
          <w:rtl w:val="0"/>
        </w:rPr>
      </w:r>
    </w:p>
    <w:p w:rsidR="00000000" w:rsidDel="00000000" w:rsidP="00000000" w:rsidRDefault="00000000" w:rsidRPr="00000000" w14:paraId="0000011A">
      <w:pPr>
        <w:spacing w:after="0" w:before="240" w:line="480" w:lineRule="auto"/>
        <w:ind w:left="720"/>
        <w:jc w:val="both"/>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rtl w:val="0"/>
          </w:rPr>
          <w:t xml:space="preserve">Becker, J., Kurland, L., Höglund, E., &amp; Hugelius, K. (2023). Dynamic ambulance relocation: A scoping review. </w:t>
        </w:r>
      </w:hyperlink>
      <w:hyperlink r:id="rId84">
        <w:r w:rsidDel="00000000" w:rsidR="00000000" w:rsidRPr="00000000">
          <w:rPr>
            <w:rFonts w:ascii="Times New Roman" w:cs="Times New Roman" w:eastAsia="Times New Roman" w:hAnsi="Times New Roman"/>
            <w:i w:val="1"/>
            <w:iCs w:val="1"/>
            <w:rtl w:val="0"/>
          </w:rPr>
          <w:t xml:space="preserve">BMJ Open</w:t>
        </w:r>
      </w:hyperlink>
      <w:hyperlink r:id="rId85">
        <w:r w:rsidDel="00000000" w:rsidR="00000000" w:rsidRPr="00000000">
          <w:rPr>
            <w:rFonts w:ascii="Times New Roman" w:cs="Times New Roman" w:eastAsia="Times New Roman" w:hAnsi="Times New Roman"/>
            <w:rtl w:val="0"/>
          </w:rPr>
          <w:t xml:space="preserve">, </w:t>
        </w:r>
      </w:hyperlink>
      <w:hyperlink r:id="rId86">
        <w:r w:rsidDel="00000000" w:rsidR="00000000" w:rsidRPr="00000000">
          <w:rPr>
            <w:rFonts w:ascii="Times New Roman" w:cs="Times New Roman" w:eastAsia="Times New Roman" w:hAnsi="Times New Roman"/>
            <w:i w:val="1"/>
            <w:iCs w:val="1"/>
            <w:rtl w:val="0"/>
          </w:rPr>
          <w:t xml:space="preserve">13</w:t>
        </w:r>
      </w:hyperlink>
      <w:hyperlink r:id="rId87">
        <w:r w:rsidDel="00000000" w:rsidR="00000000" w:rsidRPr="00000000">
          <w:rPr>
            <w:rFonts w:ascii="Times New Roman" w:cs="Times New Roman" w:eastAsia="Times New Roman" w:hAnsi="Times New Roman"/>
            <w:rtl w:val="0"/>
          </w:rPr>
          <w:t xml:space="preserve">(12), e073394. https://doi.org/10.1136/bmjopen-2023-073394 </w:t>
        </w:r>
      </w:hyperlink>
      <w:r w:rsidDel="00000000" w:rsidR="00000000" w:rsidRPr="00000000">
        <w:rPr>
          <w:rtl w:val="0"/>
        </w:rPr>
      </w:r>
    </w:p>
    <w:p w:rsidR="00000000" w:rsidDel="00000000" w:rsidP="00000000" w:rsidRDefault="00000000" w:rsidRPr="00000000" w14:paraId="0000011B">
      <w:pPr>
        <w:spacing w:after="0" w:before="240" w:line="480" w:lineRule="auto"/>
        <w:ind w:left="720"/>
        <w:jc w:val="both"/>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rtl w:val="0"/>
          </w:rPr>
          <w:t xml:space="preserve">Bertsimas, D., &amp; Kallus, N. (2020). From Predictive to Prescriptive Analytics. </w:t>
        </w:r>
      </w:hyperlink>
      <w:hyperlink r:id="rId89">
        <w:r w:rsidDel="00000000" w:rsidR="00000000" w:rsidRPr="00000000">
          <w:rPr>
            <w:rFonts w:ascii="Times New Roman" w:cs="Times New Roman" w:eastAsia="Times New Roman" w:hAnsi="Times New Roman"/>
            <w:i w:val="1"/>
            <w:iCs w:val="1"/>
            <w:rtl w:val="0"/>
          </w:rPr>
          <w:t xml:space="preserve">Management Science</w:t>
        </w:r>
      </w:hyperlink>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i w:val="1"/>
            <w:iCs w:val="1"/>
            <w:rtl w:val="0"/>
          </w:rPr>
          <w:t xml:space="preserve">66</w:t>
        </w:r>
      </w:hyperlink>
      <w:hyperlink r:id="rId92">
        <w:r w:rsidDel="00000000" w:rsidR="00000000" w:rsidRPr="00000000">
          <w:rPr>
            <w:rFonts w:ascii="Times New Roman" w:cs="Times New Roman" w:eastAsia="Times New Roman" w:hAnsi="Times New Roman"/>
            <w:rtl w:val="0"/>
          </w:rPr>
          <w:t xml:space="preserve">(3), 1025–1044. https://doi.org/10.1287/mnsc.2018.3253 </w:t>
        </w:r>
      </w:hyperlink>
      <w:r w:rsidDel="00000000" w:rsidR="00000000" w:rsidRPr="00000000">
        <w:rPr>
          <w:rtl w:val="0"/>
        </w:rPr>
      </w:r>
    </w:p>
    <w:p w:rsidR="00000000" w:rsidDel="00000000" w:rsidP="00000000" w:rsidRDefault="00000000" w:rsidRPr="00000000" w14:paraId="0000011C">
      <w:pPr>
        <w:spacing w:after="0" w:before="240" w:line="480" w:lineRule="auto"/>
        <w:ind w:left="720"/>
        <w:jc w:val="both"/>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rtl w:val="0"/>
          </w:rPr>
          <w:t xml:space="preserve">Chen, J., Yi, C., Okegbile, S. D., Cai, J., &amp; Shen, X. (2024). Networking Architecture and Key Supporting Technologies for Human Digital Twin in Personalized Healthcare: A Comprehensive Survey. </w:t>
        </w:r>
      </w:hyperlink>
      <w:hyperlink r:id="rId94">
        <w:r w:rsidDel="00000000" w:rsidR="00000000" w:rsidRPr="00000000">
          <w:rPr>
            <w:rFonts w:ascii="Times New Roman" w:cs="Times New Roman" w:eastAsia="Times New Roman" w:hAnsi="Times New Roman"/>
            <w:i w:val="1"/>
            <w:iCs w:val="1"/>
            <w:rtl w:val="0"/>
          </w:rPr>
          <w:t xml:space="preserve">IEEE Communications Surveys &amp; Tutorials</w:t>
        </w:r>
      </w:hyperlink>
      <w:hyperlink r:id="rId95">
        <w:r w:rsidDel="00000000" w:rsidR="00000000" w:rsidRPr="00000000">
          <w:rPr>
            <w:rFonts w:ascii="Times New Roman" w:cs="Times New Roman" w:eastAsia="Times New Roman" w:hAnsi="Times New Roman"/>
            <w:rtl w:val="0"/>
          </w:rPr>
          <w:t xml:space="preserve">, </w:t>
        </w:r>
      </w:hyperlink>
      <w:hyperlink r:id="rId96">
        <w:r w:rsidDel="00000000" w:rsidR="00000000" w:rsidRPr="00000000">
          <w:rPr>
            <w:rFonts w:ascii="Times New Roman" w:cs="Times New Roman" w:eastAsia="Times New Roman" w:hAnsi="Times New Roman"/>
            <w:i w:val="1"/>
            <w:iCs w:val="1"/>
            <w:rtl w:val="0"/>
          </w:rPr>
          <w:t xml:space="preserve">26</w:t>
        </w:r>
      </w:hyperlink>
      <w:hyperlink r:id="rId97">
        <w:r w:rsidDel="00000000" w:rsidR="00000000" w:rsidRPr="00000000">
          <w:rPr>
            <w:rFonts w:ascii="Times New Roman" w:cs="Times New Roman" w:eastAsia="Times New Roman" w:hAnsi="Times New Roman"/>
            <w:rtl w:val="0"/>
          </w:rPr>
          <w:t xml:space="preserve">(1), 706–746. https://doi.org/10.1109/COMST.2023.3308717 </w:t>
        </w:r>
      </w:hyperlink>
      <w:r w:rsidDel="00000000" w:rsidR="00000000" w:rsidRPr="00000000">
        <w:rPr>
          <w:rtl w:val="0"/>
        </w:rPr>
      </w:r>
    </w:p>
    <w:p w:rsidR="00000000" w:rsidDel="00000000" w:rsidP="00000000" w:rsidRDefault="00000000" w:rsidRPr="00000000" w14:paraId="0000011D">
      <w:pPr>
        <w:spacing w:after="0" w:before="240" w:line="480" w:lineRule="auto"/>
        <w:ind w:left="720"/>
        <w:jc w:val="both"/>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rtl w:val="0"/>
          </w:rPr>
          <w:t xml:space="preserve">Erkut, E., Ingolfsson, A., &amp; Erdoğan, G. (2008). Ambulance location for maximum survival. </w:t>
        </w:r>
      </w:hyperlink>
      <w:hyperlink r:id="rId99">
        <w:r w:rsidDel="00000000" w:rsidR="00000000" w:rsidRPr="00000000">
          <w:rPr>
            <w:rFonts w:ascii="Times New Roman" w:cs="Times New Roman" w:eastAsia="Times New Roman" w:hAnsi="Times New Roman"/>
            <w:i w:val="1"/>
            <w:iCs w:val="1"/>
            <w:rtl w:val="0"/>
          </w:rPr>
          <w:t xml:space="preserve">Naval Research Logistics (NRL)</w:t>
        </w:r>
      </w:hyperlink>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i w:val="1"/>
            <w:iCs w:val="1"/>
            <w:rtl w:val="0"/>
          </w:rPr>
          <w:t xml:space="preserve">55</w:t>
        </w:r>
      </w:hyperlink>
      <w:hyperlink r:id="rId102">
        <w:r w:rsidDel="00000000" w:rsidR="00000000" w:rsidRPr="00000000">
          <w:rPr>
            <w:rFonts w:ascii="Times New Roman" w:cs="Times New Roman" w:eastAsia="Times New Roman" w:hAnsi="Times New Roman"/>
            <w:rtl w:val="0"/>
          </w:rPr>
          <w:t xml:space="preserve">(1), 42–58. https://doi.org/10.1002/nav.20267 </w:t>
        </w:r>
      </w:hyperlink>
      <w:r w:rsidDel="00000000" w:rsidR="00000000" w:rsidRPr="00000000">
        <w:rPr>
          <w:rtl w:val="0"/>
        </w:rPr>
      </w:r>
    </w:p>
    <w:p w:rsidR="00000000" w:rsidDel="00000000" w:rsidP="00000000" w:rsidRDefault="00000000" w:rsidRPr="00000000" w14:paraId="0000011E">
      <w:pPr>
        <w:spacing w:after="0" w:before="240" w:line="480" w:lineRule="auto"/>
        <w:ind w:left="720"/>
        <w:jc w:val="both"/>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rtl w:val="0"/>
          </w:rPr>
          <w:t xml:space="preserve">Essus, Y., De La Fuente, R., &amp; Venkitasubramanian, A. (2024). Real-time optimization for relocation and dispatching of Emergency Medical Services with balanced workload and outsourced ride-hailing services. </w:t>
        </w:r>
      </w:hyperlink>
      <w:hyperlink r:id="rId104">
        <w:r w:rsidDel="00000000" w:rsidR="00000000" w:rsidRPr="00000000">
          <w:rPr>
            <w:rFonts w:ascii="Times New Roman" w:cs="Times New Roman" w:eastAsia="Times New Roman" w:hAnsi="Times New Roman"/>
            <w:i w:val="1"/>
            <w:iCs w:val="1"/>
            <w:rtl w:val="0"/>
          </w:rPr>
          <w:t xml:space="preserve">Computers &amp; Industrial Engineering</w:t>
        </w:r>
      </w:hyperlink>
      <w:hyperlink r:id="rId105">
        <w:r w:rsidDel="00000000" w:rsidR="00000000" w:rsidRPr="00000000">
          <w:rPr>
            <w:rFonts w:ascii="Times New Roman" w:cs="Times New Roman" w:eastAsia="Times New Roman" w:hAnsi="Times New Roman"/>
            <w:rtl w:val="0"/>
          </w:rPr>
          <w:t xml:space="preserve">, </w:t>
        </w:r>
      </w:hyperlink>
      <w:hyperlink r:id="rId106">
        <w:r w:rsidDel="00000000" w:rsidR="00000000" w:rsidRPr="00000000">
          <w:rPr>
            <w:rFonts w:ascii="Times New Roman" w:cs="Times New Roman" w:eastAsia="Times New Roman" w:hAnsi="Times New Roman"/>
            <w:i w:val="1"/>
            <w:iCs w:val="1"/>
            <w:rtl w:val="0"/>
          </w:rPr>
          <w:t xml:space="preserve">187</w:t>
        </w:r>
      </w:hyperlink>
      <w:hyperlink r:id="rId107">
        <w:r w:rsidDel="00000000" w:rsidR="00000000" w:rsidRPr="00000000">
          <w:rPr>
            <w:rFonts w:ascii="Times New Roman" w:cs="Times New Roman" w:eastAsia="Times New Roman" w:hAnsi="Times New Roman"/>
            <w:rtl w:val="0"/>
          </w:rPr>
          <w:t xml:space="preserve">, 109823. https://doi.org/10.1016/j.cie.2023.109823 </w:t>
        </w:r>
      </w:hyperlink>
      <w:r w:rsidDel="00000000" w:rsidR="00000000" w:rsidRPr="00000000">
        <w:rPr>
          <w:rtl w:val="0"/>
        </w:rPr>
      </w:r>
    </w:p>
    <w:p w:rsidR="00000000" w:rsidDel="00000000" w:rsidP="00000000" w:rsidRDefault="00000000" w:rsidRPr="00000000" w14:paraId="0000011F">
      <w:pPr>
        <w:spacing w:after="0" w:before="240" w:line="480" w:lineRule="auto"/>
        <w:ind w:left="720"/>
        <w:jc w:val="both"/>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rtl w:val="0"/>
          </w:rPr>
          <w:t xml:space="preserve">Fuller, A., Fan, Z., Day, C., &amp; Barlow, C. (2020). Digital Twin: Enabling Technologies, Challenges and Open Research. </w:t>
        </w:r>
      </w:hyperlink>
      <w:hyperlink r:id="rId109">
        <w:r w:rsidDel="00000000" w:rsidR="00000000" w:rsidRPr="00000000">
          <w:rPr>
            <w:rFonts w:ascii="Times New Roman" w:cs="Times New Roman" w:eastAsia="Times New Roman" w:hAnsi="Times New Roman"/>
            <w:i w:val="1"/>
            <w:iCs w:val="1"/>
            <w:rtl w:val="0"/>
          </w:rPr>
          <w:t xml:space="preserve">IEEE Access</w:t>
        </w:r>
      </w:hyperlink>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i w:val="1"/>
            <w:iCs w:val="1"/>
            <w:rtl w:val="0"/>
          </w:rPr>
          <w:t xml:space="preserve">8</w:t>
        </w:r>
      </w:hyperlink>
      <w:hyperlink r:id="rId112">
        <w:r w:rsidDel="00000000" w:rsidR="00000000" w:rsidRPr="00000000">
          <w:rPr>
            <w:rFonts w:ascii="Times New Roman" w:cs="Times New Roman" w:eastAsia="Times New Roman" w:hAnsi="Times New Roman"/>
            <w:rtl w:val="0"/>
          </w:rPr>
          <w:t xml:space="preserve">, 108952–108971. https://doi.org/10.1109/ACCESS.2020.2998358 </w:t>
        </w:r>
      </w:hyperlink>
      <w:r w:rsidDel="00000000" w:rsidR="00000000" w:rsidRPr="00000000">
        <w:rPr>
          <w:rtl w:val="0"/>
        </w:rPr>
      </w:r>
    </w:p>
    <w:p w:rsidR="00000000" w:rsidDel="00000000" w:rsidP="00000000" w:rsidRDefault="00000000" w:rsidRPr="00000000" w14:paraId="00000120">
      <w:pPr>
        <w:spacing w:after="0" w:before="240" w:line="480" w:lineRule="auto"/>
        <w:ind w:left="720"/>
        <w:jc w:val="both"/>
        <w:rPr>
          <w:rFonts w:ascii="Times New Roman" w:cs="Times New Roman" w:eastAsia="Times New Roman" w:hAnsi="Times New Roman"/>
        </w:rPr>
      </w:pPr>
      <w:hyperlink r:id="rId113">
        <w:r w:rsidDel="00000000" w:rsidR="00000000" w:rsidRPr="00000000">
          <w:rPr>
            <w:rFonts w:ascii="Times New Roman" w:cs="Times New Roman" w:eastAsia="Times New Roman" w:hAnsi="Times New Roman"/>
            <w:rtl w:val="0"/>
          </w:rPr>
          <w:t xml:space="preserve">Gago-Carro, I., Aldasoro, U., Ceberio, J., &amp; Merino, M. (2024). A stochastic programming model for ambulance (re)location–allocation under equitable coverage and multi-interval response time. </w:t>
        </w:r>
      </w:hyperlink>
      <w:hyperlink r:id="rId114">
        <w:r w:rsidDel="00000000" w:rsidR="00000000" w:rsidRPr="00000000">
          <w:rPr>
            <w:rFonts w:ascii="Times New Roman" w:cs="Times New Roman" w:eastAsia="Times New Roman" w:hAnsi="Times New Roman"/>
            <w:i w:val="1"/>
            <w:iCs w:val="1"/>
            <w:rtl w:val="0"/>
          </w:rPr>
          <w:t xml:space="preserve">Expert Systems with Applications</w:t>
        </w:r>
      </w:hyperlink>
      <w:hyperlink r:id="rId115">
        <w:r w:rsidDel="00000000" w:rsidR="00000000" w:rsidRPr="00000000">
          <w:rPr>
            <w:rFonts w:ascii="Times New Roman" w:cs="Times New Roman" w:eastAsia="Times New Roman" w:hAnsi="Times New Roman"/>
            <w:rtl w:val="0"/>
          </w:rPr>
          <w:t xml:space="preserve">, </w:t>
        </w:r>
      </w:hyperlink>
      <w:hyperlink r:id="rId116">
        <w:r w:rsidDel="00000000" w:rsidR="00000000" w:rsidRPr="00000000">
          <w:rPr>
            <w:rFonts w:ascii="Times New Roman" w:cs="Times New Roman" w:eastAsia="Times New Roman" w:hAnsi="Times New Roman"/>
            <w:i w:val="1"/>
            <w:iCs w:val="1"/>
            <w:rtl w:val="0"/>
          </w:rPr>
          <w:t xml:space="preserve">249</w:t>
        </w:r>
      </w:hyperlink>
      <w:hyperlink r:id="rId117">
        <w:r w:rsidDel="00000000" w:rsidR="00000000" w:rsidRPr="00000000">
          <w:rPr>
            <w:rFonts w:ascii="Times New Roman" w:cs="Times New Roman" w:eastAsia="Times New Roman" w:hAnsi="Times New Roman"/>
            <w:rtl w:val="0"/>
          </w:rPr>
          <w:t xml:space="preserve">, 123665. https://doi.org/10.1016/j.eswa.2024.123665 </w:t>
        </w:r>
      </w:hyperlink>
      <w:r w:rsidDel="00000000" w:rsidR="00000000" w:rsidRPr="00000000">
        <w:rPr>
          <w:rtl w:val="0"/>
        </w:rPr>
      </w:r>
    </w:p>
    <w:p w:rsidR="00000000" w:rsidDel="00000000" w:rsidP="00000000" w:rsidRDefault="00000000" w:rsidRPr="00000000" w14:paraId="00000121">
      <w:pPr>
        <w:spacing w:after="0" w:before="240" w:line="480" w:lineRule="auto"/>
        <w:ind w:left="720"/>
        <w:jc w:val="both"/>
        <w:rPr>
          <w:rFonts w:ascii="Times New Roman" w:cs="Times New Roman" w:eastAsia="Times New Roman" w:hAnsi="Times New Roman"/>
        </w:rPr>
      </w:pPr>
      <w:hyperlink r:id="rId118">
        <w:r w:rsidDel="00000000" w:rsidR="00000000" w:rsidRPr="00000000">
          <w:rPr>
            <w:rFonts w:ascii="Times New Roman" w:cs="Times New Roman" w:eastAsia="Times New Roman" w:hAnsi="Times New Roman"/>
            <w:rtl w:val="0"/>
          </w:rPr>
          <w:t xml:space="preserve">Gendreau, M., Laporte, G., &amp; Semet, F. (2001). A dynamic model and parallel tabu search heuristic for real-time ambulance relocation. </w:t>
        </w:r>
      </w:hyperlink>
      <w:hyperlink r:id="rId119">
        <w:r w:rsidDel="00000000" w:rsidR="00000000" w:rsidRPr="00000000">
          <w:rPr>
            <w:rFonts w:ascii="Times New Roman" w:cs="Times New Roman" w:eastAsia="Times New Roman" w:hAnsi="Times New Roman"/>
            <w:i w:val="1"/>
            <w:iCs w:val="1"/>
            <w:rtl w:val="0"/>
          </w:rPr>
          <w:t xml:space="preserve">Parallel Computing</w:t>
        </w:r>
      </w:hyperlink>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i w:val="1"/>
            <w:iCs w:val="1"/>
            <w:rtl w:val="0"/>
          </w:rPr>
          <w:t xml:space="preserve">27</w:t>
        </w:r>
      </w:hyperlink>
      <w:hyperlink r:id="rId122">
        <w:r w:rsidDel="00000000" w:rsidR="00000000" w:rsidRPr="00000000">
          <w:rPr>
            <w:rFonts w:ascii="Times New Roman" w:cs="Times New Roman" w:eastAsia="Times New Roman" w:hAnsi="Times New Roman"/>
            <w:rtl w:val="0"/>
          </w:rPr>
          <w:t xml:space="preserve">(12), 1641–1653. https://doi.org/10.1016/S0167-8191(01)00103-X </w:t>
        </w:r>
      </w:hyperlink>
      <w:r w:rsidDel="00000000" w:rsidR="00000000" w:rsidRPr="00000000">
        <w:rPr>
          <w:rtl w:val="0"/>
        </w:rPr>
      </w:r>
    </w:p>
    <w:p w:rsidR="00000000" w:rsidDel="00000000" w:rsidP="00000000" w:rsidRDefault="00000000" w:rsidRPr="00000000" w14:paraId="00000122">
      <w:pPr>
        <w:spacing w:after="0" w:before="240" w:line="480" w:lineRule="auto"/>
        <w:ind w:left="720"/>
        <w:jc w:val="both"/>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rtl w:val="0"/>
          </w:rPr>
          <w:t xml:space="preserve">Hsia, R. Y., Huang, D., Mann, N. C., Colwell, C., Mercer, M. P., Dai, M., &amp; Niedzwiecki, M. J. (2018). A US National Study of the Association Between Income and Ambulance Response Time in Cardiac Arrest. </w:t>
        </w:r>
      </w:hyperlink>
      <w:hyperlink r:id="rId124">
        <w:r w:rsidDel="00000000" w:rsidR="00000000" w:rsidRPr="00000000">
          <w:rPr>
            <w:rFonts w:ascii="Times New Roman" w:cs="Times New Roman" w:eastAsia="Times New Roman" w:hAnsi="Times New Roman"/>
            <w:i w:val="1"/>
            <w:iCs w:val="1"/>
            <w:rtl w:val="0"/>
          </w:rPr>
          <w:t xml:space="preserve">JAMA Network Open</w:t>
        </w:r>
      </w:hyperlink>
      <w:hyperlink r:id="rId125">
        <w:r w:rsidDel="00000000" w:rsidR="00000000" w:rsidRPr="00000000">
          <w:rPr>
            <w:rFonts w:ascii="Times New Roman" w:cs="Times New Roman" w:eastAsia="Times New Roman" w:hAnsi="Times New Roman"/>
            <w:rtl w:val="0"/>
          </w:rPr>
          <w:t xml:space="preserve">, </w:t>
        </w:r>
      </w:hyperlink>
      <w:hyperlink r:id="rId126">
        <w:r w:rsidDel="00000000" w:rsidR="00000000" w:rsidRPr="00000000">
          <w:rPr>
            <w:rFonts w:ascii="Times New Roman" w:cs="Times New Roman" w:eastAsia="Times New Roman" w:hAnsi="Times New Roman"/>
            <w:i w:val="1"/>
            <w:iCs w:val="1"/>
            <w:rtl w:val="0"/>
          </w:rPr>
          <w:t xml:space="preserve">1</w:t>
        </w:r>
      </w:hyperlink>
      <w:hyperlink r:id="rId127">
        <w:r w:rsidDel="00000000" w:rsidR="00000000" w:rsidRPr="00000000">
          <w:rPr>
            <w:rFonts w:ascii="Times New Roman" w:cs="Times New Roman" w:eastAsia="Times New Roman" w:hAnsi="Times New Roman"/>
            <w:rtl w:val="0"/>
          </w:rPr>
          <w:t xml:space="preserve">(7), e185202. https://doi.org/10.1001/jamanetworkopen.2018.5202 </w:t>
        </w:r>
      </w:hyperlink>
      <w:r w:rsidDel="00000000" w:rsidR="00000000" w:rsidRPr="00000000">
        <w:rPr>
          <w:rtl w:val="0"/>
        </w:rPr>
      </w:r>
    </w:p>
    <w:p w:rsidR="00000000" w:rsidDel="00000000" w:rsidP="00000000" w:rsidRDefault="00000000" w:rsidRPr="00000000" w14:paraId="00000123">
      <w:pPr>
        <w:spacing w:after="0" w:before="240" w:line="480" w:lineRule="auto"/>
        <w:ind w:left="720"/>
        <w:jc w:val="both"/>
        <w:rPr>
          <w:rFonts w:ascii="Times New Roman" w:cs="Times New Roman" w:eastAsia="Times New Roman" w:hAnsi="Times New Roman"/>
        </w:rPr>
      </w:pPr>
      <w:hyperlink r:id="rId128">
        <w:r w:rsidDel="00000000" w:rsidR="00000000" w:rsidRPr="00000000">
          <w:rPr>
            <w:rFonts w:ascii="Times New Roman" w:cs="Times New Roman" w:eastAsia="Times New Roman" w:hAnsi="Times New Roman"/>
            <w:rtl w:val="0"/>
          </w:rPr>
          <w:t xml:space="preserve">Jagtenberg, C. J., &amp; Mason, A. J. (2020). Improving fairness in ambulance planning by time sharing. </w:t>
        </w:r>
      </w:hyperlink>
      <w:hyperlink r:id="rId129">
        <w:r w:rsidDel="00000000" w:rsidR="00000000" w:rsidRPr="00000000">
          <w:rPr>
            <w:rFonts w:ascii="Times New Roman" w:cs="Times New Roman" w:eastAsia="Times New Roman" w:hAnsi="Times New Roman"/>
            <w:i w:val="1"/>
            <w:iCs w:val="1"/>
            <w:rtl w:val="0"/>
          </w:rPr>
          <w:t xml:space="preserve">European Journal of Operational Research</w:t>
        </w:r>
      </w:hyperlink>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i w:val="1"/>
            <w:iCs w:val="1"/>
            <w:rtl w:val="0"/>
          </w:rPr>
          <w:t xml:space="preserve">280</w:t>
        </w:r>
      </w:hyperlink>
      <w:hyperlink r:id="rId132">
        <w:r w:rsidDel="00000000" w:rsidR="00000000" w:rsidRPr="00000000">
          <w:rPr>
            <w:rFonts w:ascii="Times New Roman" w:cs="Times New Roman" w:eastAsia="Times New Roman" w:hAnsi="Times New Roman"/>
            <w:rtl w:val="0"/>
          </w:rPr>
          <w:t xml:space="preserve">(3), 1095–1107. https://doi.org/10.1016/j.ejor.2019.08.003 </w:t>
        </w:r>
      </w:hyperlink>
      <w:r w:rsidDel="00000000" w:rsidR="00000000" w:rsidRPr="00000000">
        <w:rPr>
          <w:rtl w:val="0"/>
        </w:rPr>
      </w:r>
    </w:p>
    <w:p w:rsidR="00000000" w:rsidDel="00000000" w:rsidP="00000000" w:rsidRDefault="00000000" w:rsidRPr="00000000" w14:paraId="00000124">
      <w:pPr>
        <w:spacing w:after="0" w:before="240" w:line="480" w:lineRule="auto"/>
        <w:ind w:left="720"/>
        <w:jc w:val="both"/>
        <w:rPr>
          <w:rFonts w:ascii="Times New Roman" w:cs="Times New Roman" w:eastAsia="Times New Roman" w:hAnsi="Times New Roman"/>
        </w:rPr>
      </w:pPr>
      <w:hyperlink r:id="rId133">
        <w:r w:rsidDel="00000000" w:rsidR="00000000" w:rsidRPr="00000000">
          <w:rPr>
            <w:rFonts w:ascii="Times New Roman" w:cs="Times New Roman" w:eastAsia="Times New Roman" w:hAnsi="Times New Roman"/>
            <w:rtl w:val="0"/>
          </w:rPr>
          <w:t xml:space="preserve">Kritzinger, W., Karner, M., Traar, G., Henjes, J., &amp; Sihn, W. (2018). Digital Twin in manufacturing: A categorical literature review and classification. </w:t>
        </w:r>
      </w:hyperlink>
      <w:hyperlink r:id="rId134">
        <w:r w:rsidDel="00000000" w:rsidR="00000000" w:rsidRPr="00000000">
          <w:rPr>
            <w:rFonts w:ascii="Times New Roman" w:cs="Times New Roman" w:eastAsia="Times New Roman" w:hAnsi="Times New Roman"/>
            <w:i w:val="1"/>
            <w:iCs w:val="1"/>
            <w:rtl w:val="0"/>
          </w:rPr>
          <w:t xml:space="preserve">IFAC-PapersOnLine</w:t>
        </w:r>
      </w:hyperlink>
      <w:hyperlink r:id="rId135">
        <w:r w:rsidDel="00000000" w:rsidR="00000000" w:rsidRPr="00000000">
          <w:rPr>
            <w:rFonts w:ascii="Times New Roman" w:cs="Times New Roman" w:eastAsia="Times New Roman" w:hAnsi="Times New Roman"/>
            <w:rtl w:val="0"/>
          </w:rPr>
          <w:t xml:space="preserve">, </w:t>
        </w:r>
      </w:hyperlink>
      <w:hyperlink r:id="rId136">
        <w:r w:rsidDel="00000000" w:rsidR="00000000" w:rsidRPr="00000000">
          <w:rPr>
            <w:rFonts w:ascii="Times New Roman" w:cs="Times New Roman" w:eastAsia="Times New Roman" w:hAnsi="Times New Roman"/>
            <w:i w:val="1"/>
            <w:iCs w:val="1"/>
            <w:rtl w:val="0"/>
          </w:rPr>
          <w:t xml:space="preserve">51</w:t>
        </w:r>
      </w:hyperlink>
      <w:hyperlink r:id="rId137">
        <w:r w:rsidDel="00000000" w:rsidR="00000000" w:rsidRPr="00000000">
          <w:rPr>
            <w:rFonts w:ascii="Times New Roman" w:cs="Times New Roman" w:eastAsia="Times New Roman" w:hAnsi="Times New Roman"/>
            <w:rtl w:val="0"/>
          </w:rPr>
          <w:t xml:space="preserve">(11), 1016–1022. https://doi.org/10.1016/j.ifacol.2018.08.474 </w:t>
        </w:r>
      </w:hyperlink>
      <w:r w:rsidDel="00000000" w:rsidR="00000000" w:rsidRPr="00000000">
        <w:rPr>
          <w:rtl w:val="0"/>
        </w:rPr>
      </w:r>
    </w:p>
    <w:p w:rsidR="00000000" w:rsidDel="00000000" w:rsidP="00000000" w:rsidRDefault="00000000" w:rsidRPr="00000000" w14:paraId="00000125">
      <w:pPr>
        <w:spacing w:after="0" w:before="240" w:line="480" w:lineRule="auto"/>
        <w:ind w:left="720"/>
        <w:jc w:val="both"/>
        <w:rPr>
          <w:rFonts w:ascii="Times New Roman" w:cs="Times New Roman" w:eastAsia="Times New Roman" w:hAnsi="Times New Roman"/>
        </w:rPr>
      </w:pPr>
      <w:hyperlink r:id="rId138">
        <w:r w:rsidDel="00000000" w:rsidR="00000000" w:rsidRPr="00000000">
          <w:rPr>
            <w:rFonts w:ascii="Times New Roman" w:cs="Times New Roman" w:eastAsia="Times New Roman" w:hAnsi="Times New Roman"/>
            <w:rtl w:val="0"/>
          </w:rPr>
          <w:t xml:space="preserve">Lam, S. S. W., Zhang, J., Zhang, Z. C., Oh, H. C., Overton, J., Ng, Y. Y., &amp; Ong, M. E. H. (2015). Dynamic ambulance reallocation for the reduction of ambulance response times using system status management. </w:t>
        </w:r>
      </w:hyperlink>
      <w:hyperlink r:id="rId139">
        <w:r w:rsidDel="00000000" w:rsidR="00000000" w:rsidRPr="00000000">
          <w:rPr>
            <w:rFonts w:ascii="Times New Roman" w:cs="Times New Roman" w:eastAsia="Times New Roman" w:hAnsi="Times New Roman"/>
            <w:i w:val="1"/>
            <w:iCs w:val="1"/>
            <w:rtl w:val="0"/>
          </w:rPr>
          <w:t xml:space="preserve">The American Journal of Emergency Medicine</w:t>
        </w:r>
      </w:hyperlink>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i w:val="1"/>
            <w:iCs w:val="1"/>
            <w:rtl w:val="0"/>
          </w:rPr>
          <w:t xml:space="preserve">33</w:t>
        </w:r>
      </w:hyperlink>
      <w:hyperlink r:id="rId142">
        <w:r w:rsidDel="00000000" w:rsidR="00000000" w:rsidRPr="00000000">
          <w:rPr>
            <w:rFonts w:ascii="Times New Roman" w:cs="Times New Roman" w:eastAsia="Times New Roman" w:hAnsi="Times New Roman"/>
            <w:rtl w:val="0"/>
          </w:rPr>
          <w:t xml:space="preserve">(2), 159–166. https://doi.org/10.1016/j.ajem.2014.10.044 </w:t>
        </w:r>
      </w:hyperlink>
      <w:r w:rsidDel="00000000" w:rsidR="00000000" w:rsidRPr="00000000">
        <w:rPr>
          <w:rtl w:val="0"/>
        </w:rPr>
      </w:r>
    </w:p>
    <w:p w:rsidR="00000000" w:rsidDel="00000000" w:rsidP="00000000" w:rsidRDefault="00000000" w:rsidRPr="00000000" w14:paraId="00000126">
      <w:pPr>
        <w:spacing w:after="0" w:before="240" w:line="480" w:lineRule="auto"/>
        <w:ind w:left="720"/>
        <w:jc w:val="both"/>
        <w:rPr>
          <w:rFonts w:ascii="Times New Roman" w:cs="Times New Roman" w:eastAsia="Times New Roman" w:hAnsi="Times New Roman"/>
        </w:rPr>
      </w:pPr>
      <w:hyperlink r:id="rId143">
        <w:r w:rsidDel="00000000" w:rsidR="00000000" w:rsidRPr="00000000">
          <w:rPr>
            <w:rFonts w:ascii="Times New Roman" w:cs="Times New Roman" w:eastAsia="Times New Roman" w:hAnsi="Times New Roman"/>
            <w:rtl w:val="0"/>
          </w:rPr>
          <w:t xml:space="preserve">Li, H., Zhang, J., Zhang, N., &amp; Zhu, B. (2025). Advancing Emergency Care With Digital Twins. </w:t>
        </w:r>
      </w:hyperlink>
      <w:hyperlink r:id="rId144">
        <w:r w:rsidDel="00000000" w:rsidR="00000000" w:rsidRPr="00000000">
          <w:rPr>
            <w:rFonts w:ascii="Times New Roman" w:cs="Times New Roman" w:eastAsia="Times New Roman" w:hAnsi="Times New Roman"/>
            <w:i w:val="1"/>
            <w:iCs w:val="1"/>
            <w:rtl w:val="0"/>
          </w:rPr>
          <w:t xml:space="preserve">JMIR Aging</w:t>
        </w:r>
      </w:hyperlink>
      <w:hyperlink r:id="rId145">
        <w:r w:rsidDel="00000000" w:rsidR="00000000" w:rsidRPr="00000000">
          <w:rPr>
            <w:rFonts w:ascii="Times New Roman" w:cs="Times New Roman" w:eastAsia="Times New Roman" w:hAnsi="Times New Roman"/>
            <w:rtl w:val="0"/>
          </w:rPr>
          <w:t xml:space="preserve">, </w:t>
        </w:r>
      </w:hyperlink>
      <w:hyperlink r:id="rId146">
        <w:r w:rsidDel="00000000" w:rsidR="00000000" w:rsidRPr="00000000">
          <w:rPr>
            <w:rFonts w:ascii="Times New Roman" w:cs="Times New Roman" w:eastAsia="Times New Roman" w:hAnsi="Times New Roman"/>
            <w:i w:val="1"/>
            <w:iCs w:val="1"/>
            <w:rtl w:val="0"/>
          </w:rPr>
          <w:t xml:space="preserve">8</w:t>
        </w:r>
      </w:hyperlink>
      <w:hyperlink r:id="rId147">
        <w:r w:rsidDel="00000000" w:rsidR="00000000" w:rsidRPr="00000000">
          <w:rPr>
            <w:rFonts w:ascii="Times New Roman" w:cs="Times New Roman" w:eastAsia="Times New Roman" w:hAnsi="Times New Roman"/>
            <w:rtl w:val="0"/>
          </w:rPr>
          <w:t xml:space="preserve">, e71777. https://doi.org/10.2196/71777 </w:t>
        </w:r>
      </w:hyperlink>
      <w:r w:rsidDel="00000000" w:rsidR="00000000" w:rsidRPr="00000000">
        <w:rPr>
          <w:rtl w:val="0"/>
        </w:rPr>
      </w:r>
    </w:p>
    <w:p w:rsidR="00000000" w:rsidDel="00000000" w:rsidP="00000000" w:rsidRDefault="00000000" w:rsidRPr="00000000" w14:paraId="00000127">
      <w:pPr>
        <w:spacing w:after="0" w:before="240" w:line="480" w:lineRule="auto"/>
        <w:ind w:left="720"/>
        <w:jc w:val="both"/>
        <w:rPr>
          <w:rFonts w:ascii="Times New Roman" w:cs="Times New Roman" w:eastAsia="Times New Roman" w:hAnsi="Times New Roman"/>
        </w:rPr>
      </w:pPr>
      <w:hyperlink r:id="rId148">
        <w:r w:rsidDel="00000000" w:rsidR="00000000" w:rsidRPr="00000000">
          <w:rPr>
            <w:rFonts w:ascii="Times New Roman" w:cs="Times New Roman" w:eastAsia="Times New Roman" w:hAnsi="Times New Roman"/>
            <w:rtl w:val="0"/>
          </w:rPr>
          <w:t xml:space="preserve">Liu, K., Li, X., Zou, C. C., Huang, H., &amp; Fu, Y. (2020). Ambulance Dispatch via Deep Reinforcement Learning. </w:t>
        </w:r>
      </w:hyperlink>
      <w:hyperlink r:id="rId149">
        <w:r w:rsidDel="00000000" w:rsidR="00000000" w:rsidRPr="00000000">
          <w:rPr>
            <w:rFonts w:ascii="Times New Roman" w:cs="Times New Roman" w:eastAsia="Times New Roman" w:hAnsi="Times New Roman"/>
            <w:i w:val="1"/>
            <w:iCs w:val="1"/>
            <w:rtl w:val="0"/>
          </w:rPr>
          <w:t xml:space="preserve">Proceedings of the 28th International Conference on Advances in Geographic Information Systems</w:t>
        </w:r>
      </w:hyperlink>
      <w:hyperlink r:id="rId150">
        <w:r w:rsidDel="00000000" w:rsidR="00000000" w:rsidRPr="00000000">
          <w:rPr>
            <w:rFonts w:ascii="Times New Roman" w:cs="Times New Roman" w:eastAsia="Times New Roman" w:hAnsi="Times New Roman"/>
            <w:rtl w:val="0"/>
          </w:rPr>
          <w:t xml:space="preserve">, 123–126. https://doi.org/10.1145/3397536.3422204 </w:t>
        </w:r>
      </w:hyperlink>
      <w:r w:rsidDel="00000000" w:rsidR="00000000" w:rsidRPr="00000000">
        <w:rPr>
          <w:rtl w:val="0"/>
        </w:rPr>
      </w:r>
    </w:p>
    <w:p w:rsidR="00000000" w:rsidDel="00000000" w:rsidP="00000000" w:rsidRDefault="00000000" w:rsidRPr="00000000" w14:paraId="00000128">
      <w:pPr>
        <w:spacing w:after="0" w:before="240" w:line="480" w:lineRule="auto"/>
        <w:ind w:left="720"/>
        <w:jc w:val="both"/>
        <w:rPr>
          <w:rFonts w:ascii="Times New Roman" w:cs="Times New Roman" w:eastAsia="Times New Roman" w:hAnsi="Times New Roman"/>
        </w:rPr>
      </w:pPr>
      <w:hyperlink r:id="rId151">
        <w:r w:rsidDel="00000000" w:rsidR="00000000" w:rsidRPr="00000000">
          <w:rPr>
            <w:rFonts w:ascii="Times New Roman" w:cs="Times New Roman" w:eastAsia="Times New Roman" w:hAnsi="Times New Roman"/>
            <w:rtl w:val="0"/>
          </w:rPr>
          <w:t xml:space="preserve">Martin, R. J., Mousavi, R., &amp; Saydam, C. (2021). Predicting emergency medical service call demand: A modern spatiotemporal machine learning approach. </w:t>
        </w:r>
      </w:hyperlink>
      <w:hyperlink r:id="rId152">
        <w:r w:rsidDel="00000000" w:rsidR="00000000" w:rsidRPr="00000000">
          <w:rPr>
            <w:rFonts w:ascii="Times New Roman" w:cs="Times New Roman" w:eastAsia="Times New Roman" w:hAnsi="Times New Roman"/>
            <w:i w:val="1"/>
            <w:iCs w:val="1"/>
            <w:rtl w:val="0"/>
          </w:rPr>
          <w:t xml:space="preserve">Operations Research for Health Care</w:t>
        </w:r>
      </w:hyperlink>
      <w:hyperlink r:id="rId153">
        <w:r w:rsidDel="00000000" w:rsidR="00000000" w:rsidRPr="00000000">
          <w:rPr>
            <w:rFonts w:ascii="Times New Roman" w:cs="Times New Roman" w:eastAsia="Times New Roman" w:hAnsi="Times New Roman"/>
            <w:rtl w:val="0"/>
          </w:rPr>
          <w:t xml:space="preserve">, </w:t>
        </w:r>
      </w:hyperlink>
      <w:hyperlink r:id="rId154">
        <w:r w:rsidDel="00000000" w:rsidR="00000000" w:rsidRPr="00000000">
          <w:rPr>
            <w:rFonts w:ascii="Times New Roman" w:cs="Times New Roman" w:eastAsia="Times New Roman" w:hAnsi="Times New Roman"/>
            <w:i w:val="1"/>
            <w:iCs w:val="1"/>
            <w:rtl w:val="0"/>
          </w:rPr>
          <w:t xml:space="preserve">28</w:t>
        </w:r>
      </w:hyperlink>
      <w:hyperlink r:id="rId155">
        <w:r w:rsidDel="00000000" w:rsidR="00000000" w:rsidRPr="00000000">
          <w:rPr>
            <w:rFonts w:ascii="Times New Roman" w:cs="Times New Roman" w:eastAsia="Times New Roman" w:hAnsi="Times New Roman"/>
            <w:rtl w:val="0"/>
          </w:rPr>
          <w:t xml:space="preserve">, 100285. https://doi.org/10.1016/j.orhc.2021.100285 </w:t>
        </w:r>
      </w:hyperlink>
      <w:r w:rsidDel="00000000" w:rsidR="00000000" w:rsidRPr="00000000">
        <w:rPr>
          <w:rtl w:val="0"/>
        </w:rPr>
      </w:r>
    </w:p>
    <w:p w:rsidR="00000000" w:rsidDel="00000000" w:rsidP="00000000" w:rsidRDefault="00000000" w:rsidRPr="00000000" w14:paraId="00000129">
      <w:pPr>
        <w:spacing w:after="0" w:before="240" w:line="480" w:lineRule="auto"/>
        <w:ind w:left="720"/>
        <w:jc w:val="both"/>
        <w:rPr>
          <w:rFonts w:ascii="Times New Roman" w:cs="Times New Roman" w:eastAsia="Times New Roman" w:hAnsi="Times New Roman"/>
        </w:rPr>
      </w:pPr>
      <w:hyperlink r:id="rId156">
        <w:r w:rsidDel="00000000" w:rsidR="00000000" w:rsidRPr="00000000">
          <w:rPr>
            <w:rFonts w:ascii="Times New Roman" w:cs="Times New Roman" w:eastAsia="Times New Roman" w:hAnsi="Times New Roman"/>
            <w:rtl w:val="0"/>
          </w:rPr>
          <w:t xml:space="preserve">Matteson, D. S., McLean, M. W., Woodard, D. B., &amp; Henderson, S. G. (2011). Forecasting emergency medical service call arrival rates. </w:t>
        </w:r>
      </w:hyperlink>
      <w:hyperlink r:id="rId157">
        <w:r w:rsidDel="00000000" w:rsidR="00000000" w:rsidRPr="00000000">
          <w:rPr>
            <w:rFonts w:ascii="Times New Roman" w:cs="Times New Roman" w:eastAsia="Times New Roman" w:hAnsi="Times New Roman"/>
            <w:i w:val="1"/>
            <w:iCs w:val="1"/>
            <w:rtl w:val="0"/>
          </w:rPr>
          <w:t xml:space="preserve">The Annals of Applied Statistics</w:t>
        </w:r>
      </w:hyperlink>
      <w:hyperlink r:id="rId158">
        <w:r w:rsidDel="00000000" w:rsidR="00000000" w:rsidRPr="00000000">
          <w:rPr>
            <w:rFonts w:ascii="Times New Roman" w:cs="Times New Roman" w:eastAsia="Times New Roman" w:hAnsi="Times New Roman"/>
            <w:rtl w:val="0"/>
          </w:rPr>
          <w:t xml:space="preserve">, </w:t>
        </w:r>
      </w:hyperlink>
      <w:hyperlink r:id="rId159">
        <w:r w:rsidDel="00000000" w:rsidR="00000000" w:rsidRPr="00000000">
          <w:rPr>
            <w:rFonts w:ascii="Times New Roman" w:cs="Times New Roman" w:eastAsia="Times New Roman" w:hAnsi="Times New Roman"/>
            <w:i w:val="1"/>
            <w:iCs w:val="1"/>
            <w:rtl w:val="0"/>
          </w:rPr>
          <w:t xml:space="preserve">5</w:t>
        </w:r>
      </w:hyperlink>
      <w:hyperlink r:id="rId160">
        <w:r w:rsidDel="00000000" w:rsidR="00000000" w:rsidRPr="00000000">
          <w:rPr>
            <w:rFonts w:ascii="Times New Roman" w:cs="Times New Roman" w:eastAsia="Times New Roman" w:hAnsi="Times New Roman"/>
            <w:rtl w:val="0"/>
          </w:rPr>
          <w:t xml:space="preserve">(2B). https://doi.org/10.1214/10-AOAS442 </w:t>
        </w:r>
      </w:hyperlink>
      <w:r w:rsidDel="00000000" w:rsidR="00000000" w:rsidRPr="00000000">
        <w:rPr>
          <w:rtl w:val="0"/>
        </w:rPr>
      </w:r>
    </w:p>
    <w:p w:rsidR="00000000" w:rsidDel="00000000" w:rsidP="00000000" w:rsidRDefault="00000000" w:rsidRPr="00000000" w14:paraId="0000012A">
      <w:pPr>
        <w:spacing w:after="0" w:before="240" w:line="480" w:lineRule="auto"/>
        <w:ind w:left="720"/>
        <w:jc w:val="both"/>
        <w:rPr>
          <w:rFonts w:ascii="Times New Roman" w:cs="Times New Roman" w:eastAsia="Times New Roman" w:hAnsi="Times New Roman"/>
        </w:rPr>
      </w:pPr>
      <w:hyperlink r:id="rId161">
        <w:r w:rsidDel="00000000" w:rsidR="00000000" w:rsidRPr="00000000">
          <w:rPr>
            <w:rFonts w:ascii="Times New Roman" w:cs="Times New Roman" w:eastAsia="Times New Roman" w:hAnsi="Times New Roman"/>
            <w:rtl w:val="0"/>
          </w:rPr>
          <w:t xml:space="preserve">Monks, T., Harper, A., Allen, M., Collins, L., &amp; Mayne, A. (2023). Forecasting the daily demand for emergency medical ambulances in England and Wales: A benchmark model and external validation. </w:t>
        </w:r>
      </w:hyperlink>
      <w:hyperlink r:id="rId162">
        <w:r w:rsidDel="00000000" w:rsidR="00000000" w:rsidRPr="00000000">
          <w:rPr>
            <w:rFonts w:ascii="Times New Roman" w:cs="Times New Roman" w:eastAsia="Times New Roman" w:hAnsi="Times New Roman"/>
            <w:i w:val="1"/>
            <w:iCs w:val="1"/>
            <w:rtl w:val="0"/>
          </w:rPr>
          <w:t xml:space="preserve">BMC Medical Informatics and Decision Making</w:t>
        </w:r>
      </w:hyperlink>
      <w:hyperlink r:id="rId163">
        <w:r w:rsidDel="00000000" w:rsidR="00000000" w:rsidRPr="00000000">
          <w:rPr>
            <w:rFonts w:ascii="Times New Roman" w:cs="Times New Roman" w:eastAsia="Times New Roman" w:hAnsi="Times New Roman"/>
            <w:rtl w:val="0"/>
          </w:rPr>
          <w:t xml:space="preserve">, </w:t>
        </w:r>
      </w:hyperlink>
      <w:hyperlink r:id="rId164">
        <w:r w:rsidDel="00000000" w:rsidR="00000000" w:rsidRPr="00000000">
          <w:rPr>
            <w:rFonts w:ascii="Times New Roman" w:cs="Times New Roman" w:eastAsia="Times New Roman" w:hAnsi="Times New Roman"/>
            <w:i w:val="1"/>
            <w:iCs w:val="1"/>
            <w:rtl w:val="0"/>
          </w:rPr>
          <w:t xml:space="preserve">23</w:t>
        </w:r>
      </w:hyperlink>
      <w:hyperlink r:id="rId165">
        <w:r w:rsidDel="00000000" w:rsidR="00000000" w:rsidRPr="00000000">
          <w:rPr>
            <w:rFonts w:ascii="Times New Roman" w:cs="Times New Roman" w:eastAsia="Times New Roman" w:hAnsi="Times New Roman"/>
            <w:rtl w:val="0"/>
          </w:rPr>
          <w:t xml:space="preserve">(1), 117. https://doi.org/10.1186/s12911-023-02218-z </w:t>
        </w:r>
      </w:hyperlink>
      <w:r w:rsidDel="00000000" w:rsidR="00000000" w:rsidRPr="00000000">
        <w:rPr>
          <w:rtl w:val="0"/>
        </w:rPr>
      </w:r>
    </w:p>
    <w:p w:rsidR="00000000" w:rsidDel="00000000" w:rsidP="00000000" w:rsidRDefault="00000000" w:rsidRPr="00000000" w14:paraId="0000012B">
      <w:pPr>
        <w:spacing w:after="0" w:before="240" w:line="480" w:lineRule="auto"/>
        <w:ind w:left="720"/>
        <w:jc w:val="both"/>
        <w:rPr>
          <w:rFonts w:ascii="Times New Roman" w:cs="Times New Roman" w:eastAsia="Times New Roman" w:hAnsi="Times New Roman"/>
        </w:rPr>
      </w:pPr>
      <w:hyperlink r:id="rId166">
        <w:r w:rsidDel="00000000" w:rsidR="00000000" w:rsidRPr="00000000">
          <w:rPr>
            <w:rFonts w:ascii="Times New Roman" w:cs="Times New Roman" w:eastAsia="Times New Roman" w:hAnsi="Times New Roman"/>
            <w:rtl w:val="0"/>
          </w:rPr>
          <w:t xml:space="preserve">Neira-Rodado, D., Paz-Roa, J. C., Escobar, J. W., &amp; Ortiz-Barrios, M. Á. (2025). A novel machine learning approach for spatiotemporal prediction of EMS events: A case study from Barranquilla, Colombia. </w:t>
        </w:r>
      </w:hyperlink>
      <w:hyperlink r:id="rId167">
        <w:r w:rsidDel="00000000" w:rsidR="00000000" w:rsidRPr="00000000">
          <w:rPr>
            <w:rFonts w:ascii="Times New Roman" w:cs="Times New Roman" w:eastAsia="Times New Roman" w:hAnsi="Times New Roman"/>
            <w:i w:val="1"/>
            <w:iCs w:val="1"/>
            <w:rtl w:val="0"/>
          </w:rPr>
          <w:t xml:space="preserve">Heliyon</w:t>
        </w:r>
      </w:hyperlink>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i w:val="1"/>
            <w:iCs w:val="1"/>
            <w:rtl w:val="0"/>
          </w:rPr>
          <w:t xml:space="preserve">11</w:t>
        </w:r>
      </w:hyperlink>
      <w:hyperlink r:id="rId170">
        <w:r w:rsidDel="00000000" w:rsidR="00000000" w:rsidRPr="00000000">
          <w:rPr>
            <w:rFonts w:ascii="Times New Roman" w:cs="Times New Roman" w:eastAsia="Times New Roman" w:hAnsi="Times New Roman"/>
            <w:rtl w:val="0"/>
          </w:rPr>
          <w:t xml:space="preserve">(2), e41904. https://doi.org/10.1016/j.heliyon.2025.e41904 </w:t>
        </w:r>
      </w:hyperlink>
      <w:r w:rsidDel="00000000" w:rsidR="00000000" w:rsidRPr="00000000">
        <w:rPr>
          <w:rtl w:val="0"/>
        </w:rPr>
      </w:r>
    </w:p>
    <w:p w:rsidR="00000000" w:rsidDel="00000000" w:rsidP="00000000" w:rsidRDefault="00000000" w:rsidRPr="00000000" w14:paraId="0000012C">
      <w:pPr>
        <w:spacing w:after="0" w:before="240" w:line="480" w:lineRule="auto"/>
        <w:ind w:left="720"/>
        <w:jc w:val="both"/>
        <w:rPr>
          <w:rFonts w:ascii="Times New Roman" w:cs="Times New Roman" w:eastAsia="Times New Roman" w:hAnsi="Times New Roman"/>
        </w:rPr>
      </w:pPr>
      <w:hyperlink r:id="rId171">
        <w:r w:rsidDel="00000000" w:rsidR="00000000" w:rsidRPr="00000000">
          <w:rPr>
            <w:rFonts w:ascii="Times New Roman" w:cs="Times New Roman" w:eastAsia="Times New Roman" w:hAnsi="Times New Roman"/>
            <w:rtl w:val="0"/>
          </w:rPr>
          <w:t xml:space="preserve">Olave-Rojas, D., &amp; Nickel, S. (2021). Modeling a pre-hospital emergency medical service using hybrid simulation and a machine learning approach. </w:t>
        </w:r>
      </w:hyperlink>
      <w:hyperlink r:id="rId172">
        <w:r w:rsidDel="00000000" w:rsidR="00000000" w:rsidRPr="00000000">
          <w:rPr>
            <w:rFonts w:ascii="Times New Roman" w:cs="Times New Roman" w:eastAsia="Times New Roman" w:hAnsi="Times New Roman"/>
            <w:i w:val="1"/>
            <w:iCs w:val="1"/>
            <w:rtl w:val="0"/>
          </w:rPr>
          <w:t xml:space="preserve">Simulation Modelling Practice and Theory</w:t>
        </w:r>
      </w:hyperlink>
      <w:hyperlink r:id="rId173">
        <w:r w:rsidDel="00000000" w:rsidR="00000000" w:rsidRPr="00000000">
          <w:rPr>
            <w:rFonts w:ascii="Times New Roman" w:cs="Times New Roman" w:eastAsia="Times New Roman" w:hAnsi="Times New Roman"/>
            <w:rtl w:val="0"/>
          </w:rPr>
          <w:t xml:space="preserve">, </w:t>
        </w:r>
      </w:hyperlink>
      <w:hyperlink r:id="rId174">
        <w:r w:rsidDel="00000000" w:rsidR="00000000" w:rsidRPr="00000000">
          <w:rPr>
            <w:rFonts w:ascii="Times New Roman" w:cs="Times New Roman" w:eastAsia="Times New Roman" w:hAnsi="Times New Roman"/>
            <w:i w:val="1"/>
            <w:iCs w:val="1"/>
            <w:rtl w:val="0"/>
          </w:rPr>
          <w:t xml:space="preserve">109</w:t>
        </w:r>
      </w:hyperlink>
      <w:hyperlink r:id="rId175">
        <w:r w:rsidDel="00000000" w:rsidR="00000000" w:rsidRPr="00000000">
          <w:rPr>
            <w:rFonts w:ascii="Times New Roman" w:cs="Times New Roman" w:eastAsia="Times New Roman" w:hAnsi="Times New Roman"/>
            <w:rtl w:val="0"/>
          </w:rPr>
          <w:t xml:space="preserve">, 102302. https://doi.org/10.1016/j.simpat.2021.102302 </w:t>
        </w:r>
      </w:hyperlink>
      <w:r w:rsidDel="00000000" w:rsidR="00000000" w:rsidRPr="00000000">
        <w:rPr>
          <w:rtl w:val="0"/>
        </w:rPr>
      </w:r>
    </w:p>
    <w:p w:rsidR="00000000" w:rsidDel="00000000" w:rsidP="00000000" w:rsidRDefault="00000000" w:rsidRPr="00000000" w14:paraId="0000012D">
      <w:pPr>
        <w:spacing w:after="0" w:before="240" w:line="480" w:lineRule="auto"/>
        <w:ind w:left="720"/>
        <w:jc w:val="both"/>
        <w:rPr>
          <w:rFonts w:ascii="Times New Roman" w:cs="Times New Roman" w:eastAsia="Times New Roman" w:hAnsi="Times New Roman"/>
        </w:rPr>
      </w:pPr>
      <w:hyperlink r:id="rId176">
        <w:r w:rsidDel="00000000" w:rsidR="00000000" w:rsidRPr="00000000">
          <w:rPr>
            <w:rFonts w:ascii="Times New Roman" w:cs="Times New Roman" w:eastAsia="Times New Roman" w:hAnsi="Times New Roman"/>
            <w:rtl w:val="0"/>
          </w:rPr>
          <w:t xml:space="preserve">Ong, M. E. H., Chiam, T. F., Ng, F. S. P., Sultana, P., Lim, S. H., Leong, B. S., Ong, V. Y. K., Ching Tan, E. C., Tham, L. P., Yap, S., Anantharaman, V., &amp; on behalf of the Cardiac Arrest Resuscitation Epidemiology (CARE) Study Group. (2010). Reducing Ambulance Response Times Using Geospatial–Time Analysis of Ambulance Deployment. </w:t>
        </w:r>
      </w:hyperlink>
      <w:hyperlink r:id="rId177">
        <w:r w:rsidDel="00000000" w:rsidR="00000000" w:rsidRPr="00000000">
          <w:rPr>
            <w:rFonts w:ascii="Times New Roman" w:cs="Times New Roman" w:eastAsia="Times New Roman" w:hAnsi="Times New Roman"/>
            <w:i w:val="1"/>
            <w:iCs w:val="1"/>
            <w:rtl w:val="0"/>
          </w:rPr>
          <w:t xml:space="preserve">Academic Emergency Medicine</w:t>
        </w:r>
      </w:hyperlink>
      <w:hyperlink r:id="rId178">
        <w:r w:rsidDel="00000000" w:rsidR="00000000" w:rsidRPr="00000000">
          <w:rPr>
            <w:rFonts w:ascii="Times New Roman" w:cs="Times New Roman" w:eastAsia="Times New Roman" w:hAnsi="Times New Roman"/>
            <w:rtl w:val="0"/>
          </w:rPr>
          <w:t xml:space="preserve">, </w:t>
        </w:r>
      </w:hyperlink>
      <w:hyperlink r:id="rId179">
        <w:r w:rsidDel="00000000" w:rsidR="00000000" w:rsidRPr="00000000">
          <w:rPr>
            <w:rFonts w:ascii="Times New Roman" w:cs="Times New Roman" w:eastAsia="Times New Roman" w:hAnsi="Times New Roman"/>
            <w:i w:val="1"/>
            <w:iCs w:val="1"/>
            <w:rtl w:val="0"/>
          </w:rPr>
          <w:t xml:space="preserve">17</w:t>
        </w:r>
      </w:hyperlink>
      <w:hyperlink r:id="rId180">
        <w:r w:rsidDel="00000000" w:rsidR="00000000" w:rsidRPr="00000000">
          <w:rPr>
            <w:rFonts w:ascii="Times New Roman" w:cs="Times New Roman" w:eastAsia="Times New Roman" w:hAnsi="Times New Roman"/>
            <w:rtl w:val="0"/>
          </w:rPr>
          <w:t xml:space="preserve">(9), 951–957. https://doi.org/10.1111/j.1553-2712.2010.00860.x </w:t>
        </w:r>
      </w:hyperlink>
      <w:r w:rsidDel="00000000" w:rsidR="00000000" w:rsidRPr="00000000">
        <w:rPr>
          <w:rtl w:val="0"/>
        </w:rPr>
      </w:r>
    </w:p>
    <w:p w:rsidR="00000000" w:rsidDel="00000000" w:rsidP="00000000" w:rsidRDefault="00000000" w:rsidRPr="00000000" w14:paraId="0000012E">
      <w:pPr>
        <w:spacing w:after="0" w:before="240" w:line="480" w:lineRule="auto"/>
        <w:ind w:left="720"/>
        <w:jc w:val="both"/>
        <w:rPr>
          <w:rFonts w:ascii="Times New Roman" w:cs="Times New Roman" w:eastAsia="Times New Roman" w:hAnsi="Times New Roman"/>
        </w:rPr>
      </w:pPr>
      <w:hyperlink r:id="rId181">
        <w:r w:rsidDel="00000000" w:rsidR="00000000" w:rsidRPr="00000000">
          <w:rPr>
            <w:rFonts w:ascii="Times New Roman" w:cs="Times New Roman" w:eastAsia="Times New Roman" w:hAnsi="Times New Roman"/>
            <w:rtl w:val="0"/>
          </w:rPr>
          <w:t xml:space="preserve">Penverne, Y., Martinez, C., Cellier, N., Pehlivan, C., Jenvrin, J., Savary, D., Debierre, V., Deciron, F., Bichri, A., Lebastard, Q., Montassier, E., Leclere, B., &amp; Fontanili, F. (2024). A simulation based digital twin approach to assessing the organization of response to emergency calls. </w:t>
        </w:r>
      </w:hyperlink>
      <w:hyperlink r:id="rId182">
        <w:r w:rsidDel="00000000" w:rsidR="00000000" w:rsidRPr="00000000">
          <w:rPr>
            <w:rFonts w:ascii="Times New Roman" w:cs="Times New Roman" w:eastAsia="Times New Roman" w:hAnsi="Times New Roman"/>
            <w:i w:val="1"/>
            <w:iCs w:val="1"/>
            <w:rtl w:val="0"/>
          </w:rPr>
          <w:t xml:space="preserve">Npj Digital Medicine</w:t>
        </w:r>
      </w:hyperlink>
      <w:hyperlink r:id="rId183">
        <w:r w:rsidDel="00000000" w:rsidR="00000000" w:rsidRPr="00000000">
          <w:rPr>
            <w:rFonts w:ascii="Times New Roman" w:cs="Times New Roman" w:eastAsia="Times New Roman" w:hAnsi="Times New Roman"/>
            <w:rtl w:val="0"/>
          </w:rPr>
          <w:t xml:space="preserve">, </w:t>
        </w:r>
      </w:hyperlink>
      <w:hyperlink r:id="rId184">
        <w:r w:rsidDel="00000000" w:rsidR="00000000" w:rsidRPr="00000000">
          <w:rPr>
            <w:rFonts w:ascii="Times New Roman" w:cs="Times New Roman" w:eastAsia="Times New Roman" w:hAnsi="Times New Roman"/>
            <w:i w:val="1"/>
            <w:iCs w:val="1"/>
            <w:rtl w:val="0"/>
          </w:rPr>
          <w:t xml:space="preserve">7</w:t>
        </w:r>
      </w:hyperlink>
      <w:hyperlink r:id="rId185">
        <w:r w:rsidDel="00000000" w:rsidR="00000000" w:rsidRPr="00000000">
          <w:rPr>
            <w:rFonts w:ascii="Times New Roman" w:cs="Times New Roman" w:eastAsia="Times New Roman" w:hAnsi="Times New Roman"/>
            <w:rtl w:val="0"/>
          </w:rPr>
          <w:t xml:space="preserve">(1), 385. https://doi.org/10.1038/s41746-024-01392-2 </w:t>
        </w:r>
      </w:hyperlink>
      <w:r w:rsidDel="00000000" w:rsidR="00000000" w:rsidRPr="00000000">
        <w:rPr>
          <w:rtl w:val="0"/>
        </w:rPr>
      </w:r>
    </w:p>
    <w:p w:rsidR="00000000" w:rsidDel="00000000" w:rsidP="00000000" w:rsidRDefault="00000000" w:rsidRPr="00000000" w14:paraId="0000012F">
      <w:pPr>
        <w:spacing w:after="0" w:before="240" w:line="480" w:lineRule="auto"/>
        <w:ind w:left="720"/>
        <w:jc w:val="both"/>
        <w:rPr>
          <w:rFonts w:ascii="Times New Roman" w:cs="Times New Roman" w:eastAsia="Times New Roman" w:hAnsi="Times New Roman"/>
        </w:rPr>
      </w:pPr>
      <w:hyperlink r:id="rId186">
        <w:r w:rsidDel="00000000" w:rsidR="00000000" w:rsidRPr="00000000">
          <w:rPr>
            <w:rFonts w:ascii="Times New Roman" w:cs="Times New Roman" w:eastAsia="Times New Roman" w:hAnsi="Times New Roman"/>
            <w:rtl w:val="0"/>
          </w:rPr>
          <w:t xml:space="preserve">Petri, I., Rezgui, Y., Ghoroghi, A., &amp; Alzahrani, A. (2023). Digital twins for performance management in the built environment. </w:t>
        </w:r>
      </w:hyperlink>
      <w:hyperlink r:id="rId187">
        <w:r w:rsidDel="00000000" w:rsidR="00000000" w:rsidRPr="00000000">
          <w:rPr>
            <w:rFonts w:ascii="Times New Roman" w:cs="Times New Roman" w:eastAsia="Times New Roman" w:hAnsi="Times New Roman"/>
            <w:i w:val="1"/>
            <w:iCs w:val="1"/>
            <w:rtl w:val="0"/>
          </w:rPr>
          <w:t xml:space="preserve">Journal of Industrial Information Integration</w:t>
        </w:r>
      </w:hyperlink>
      <w:hyperlink r:id="rId188">
        <w:r w:rsidDel="00000000" w:rsidR="00000000" w:rsidRPr="00000000">
          <w:rPr>
            <w:rFonts w:ascii="Times New Roman" w:cs="Times New Roman" w:eastAsia="Times New Roman" w:hAnsi="Times New Roman"/>
            <w:rtl w:val="0"/>
          </w:rPr>
          <w:t xml:space="preserve">, </w:t>
        </w:r>
      </w:hyperlink>
      <w:hyperlink r:id="rId189">
        <w:r w:rsidDel="00000000" w:rsidR="00000000" w:rsidRPr="00000000">
          <w:rPr>
            <w:rFonts w:ascii="Times New Roman" w:cs="Times New Roman" w:eastAsia="Times New Roman" w:hAnsi="Times New Roman"/>
            <w:i w:val="1"/>
            <w:iCs w:val="1"/>
            <w:rtl w:val="0"/>
          </w:rPr>
          <w:t xml:space="preserve">33</w:t>
        </w:r>
      </w:hyperlink>
      <w:hyperlink r:id="rId190">
        <w:r w:rsidDel="00000000" w:rsidR="00000000" w:rsidRPr="00000000">
          <w:rPr>
            <w:rFonts w:ascii="Times New Roman" w:cs="Times New Roman" w:eastAsia="Times New Roman" w:hAnsi="Times New Roman"/>
            <w:rtl w:val="0"/>
          </w:rPr>
          <w:t xml:space="preserve">, 100445. https://doi.org/10.1016/j.jii.2023.100445 </w:t>
        </w:r>
      </w:hyperlink>
      <w:r w:rsidDel="00000000" w:rsidR="00000000" w:rsidRPr="00000000">
        <w:rPr>
          <w:rtl w:val="0"/>
        </w:rPr>
      </w:r>
    </w:p>
    <w:p w:rsidR="00000000" w:rsidDel="00000000" w:rsidP="00000000" w:rsidRDefault="00000000" w:rsidRPr="00000000" w14:paraId="00000130">
      <w:pPr>
        <w:spacing w:after="0" w:before="240" w:line="480" w:lineRule="auto"/>
        <w:ind w:left="720"/>
        <w:jc w:val="both"/>
        <w:rPr>
          <w:rFonts w:ascii="Times New Roman" w:cs="Times New Roman" w:eastAsia="Times New Roman" w:hAnsi="Times New Roman"/>
        </w:rPr>
      </w:pPr>
      <w:hyperlink r:id="rId191">
        <w:r w:rsidDel="00000000" w:rsidR="00000000" w:rsidRPr="00000000">
          <w:rPr>
            <w:rFonts w:ascii="Times New Roman" w:cs="Times New Roman" w:eastAsia="Times New Roman" w:hAnsi="Times New Roman"/>
            <w:rtl w:val="0"/>
          </w:rPr>
          <w:t xml:space="preserve">Roy, S., Hunter, M., Saroj, A., &amp; Guin, A. (2024). Development of Emergency Vehicle Preemption Strategies on Smart Corridors in a Digital Twin Environment. </w:t>
        </w:r>
      </w:hyperlink>
      <w:hyperlink r:id="rId192">
        <w:r w:rsidDel="00000000" w:rsidR="00000000" w:rsidRPr="00000000">
          <w:rPr>
            <w:rFonts w:ascii="Times New Roman" w:cs="Times New Roman" w:eastAsia="Times New Roman" w:hAnsi="Times New Roman"/>
            <w:i w:val="1"/>
            <w:iCs w:val="1"/>
            <w:rtl w:val="0"/>
          </w:rPr>
          <w:t xml:space="preserve">Proceedings of the 17th ACM SIGSPATIAL International Workshop on Computational Transportation Science GenAI and Smart Mobility Session</w:t>
        </w:r>
      </w:hyperlink>
      <w:hyperlink r:id="rId193">
        <w:r w:rsidDel="00000000" w:rsidR="00000000" w:rsidRPr="00000000">
          <w:rPr>
            <w:rFonts w:ascii="Times New Roman" w:cs="Times New Roman" w:eastAsia="Times New Roman" w:hAnsi="Times New Roman"/>
            <w:rtl w:val="0"/>
          </w:rPr>
          <w:t xml:space="preserve">, 12–21. https://doi.org/10.1145/3681772.3698213 </w:t>
        </w:r>
      </w:hyperlink>
      <w:r w:rsidDel="00000000" w:rsidR="00000000" w:rsidRPr="00000000">
        <w:rPr>
          <w:rtl w:val="0"/>
        </w:rPr>
      </w:r>
    </w:p>
    <w:p w:rsidR="00000000" w:rsidDel="00000000" w:rsidP="00000000" w:rsidRDefault="00000000" w:rsidRPr="00000000" w14:paraId="00000131">
      <w:pPr>
        <w:spacing w:after="0" w:before="240" w:line="480" w:lineRule="auto"/>
        <w:ind w:left="720"/>
        <w:jc w:val="both"/>
        <w:rPr>
          <w:rFonts w:ascii="Times New Roman" w:cs="Times New Roman" w:eastAsia="Times New Roman" w:hAnsi="Times New Roman"/>
        </w:rPr>
      </w:pPr>
      <w:hyperlink r:id="rId194">
        <w:r w:rsidDel="00000000" w:rsidR="00000000" w:rsidRPr="00000000">
          <w:rPr>
            <w:rFonts w:ascii="Times New Roman" w:cs="Times New Roman" w:eastAsia="Times New Roman" w:hAnsi="Times New Roman"/>
            <w:rtl w:val="0"/>
          </w:rPr>
          <w:t xml:space="preserve">Seong, K., Jiao, J., Lewis, R. H., Farahi, A., Navrátil, P., Casebeer, N., Davis, B., Jones, J., &amp; Niyogi, D. (2025). Towards a digital twin for smart resilient cities: Real-time fire and smoke tracking and prediction platform for community awareness (FireCom). </w:t>
        </w:r>
      </w:hyperlink>
      <w:hyperlink r:id="rId195">
        <w:r w:rsidDel="00000000" w:rsidR="00000000" w:rsidRPr="00000000">
          <w:rPr>
            <w:rFonts w:ascii="Times New Roman" w:cs="Times New Roman" w:eastAsia="Times New Roman" w:hAnsi="Times New Roman"/>
            <w:i w:val="1"/>
            <w:iCs w:val="1"/>
            <w:rtl w:val="0"/>
          </w:rPr>
          <w:t xml:space="preserve">Computational Urban Science</w:t>
        </w:r>
      </w:hyperlink>
      <w:hyperlink r:id="rId196">
        <w:r w:rsidDel="00000000" w:rsidR="00000000" w:rsidRPr="00000000">
          <w:rPr>
            <w:rFonts w:ascii="Times New Roman" w:cs="Times New Roman" w:eastAsia="Times New Roman" w:hAnsi="Times New Roman"/>
            <w:rtl w:val="0"/>
          </w:rPr>
          <w:t xml:space="preserve">, </w:t>
        </w:r>
      </w:hyperlink>
      <w:hyperlink r:id="rId197">
        <w:r w:rsidDel="00000000" w:rsidR="00000000" w:rsidRPr="00000000">
          <w:rPr>
            <w:rFonts w:ascii="Times New Roman" w:cs="Times New Roman" w:eastAsia="Times New Roman" w:hAnsi="Times New Roman"/>
            <w:i w:val="1"/>
            <w:iCs w:val="1"/>
            <w:rtl w:val="0"/>
          </w:rPr>
          <w:t xml:space="preserve">5</w:t>
        </w:r>
      </w:hyperlink>
      <w:hyperlink r:id="rId198">
        <w:r w:rsidDel="00000000" w:rsidR="00000000" w:rsidRPr="00000000">
          <w:rPr>
            <w:rFonts w:ascii="Times New Roman" w:cs="Times New Roman" w:eastAsia="Times New Roman" w:hAnsi="Times New Roman"/>
            <w:rtl w:val="0"/>
          </w:rPr>
          <w:t xml:space="preserve">(1), 49. https://doi.org/10.1007/s43762-025-00212-x </w:t>
        </w:r>
      </w:hyperlink>
      <w:r w:rsidDel="00000000" w:rsidR="00000000" w:rsidRPr="00000000">
        <w:rPr>
          <w:rtl w:val="0"/>
        </w:rPr>
      </w:r>
    </w:p>
    <w:p w:rsidR="00000000" w:rsidDel="00000000" w:rsidP="00000000" w:rsidRDefault="00000000" w:rsidRPr="00000000" w14:paraId="00000132">
      <w:pPr>
        <w:spacing w:after="0" w:before="240" w:line="480" w:lineRule="auto"/>
        <w:ind w:left="720"/>
        <w:jc w:val="both"/>
        <w:rPr>
          <w:rFonts w:ascii="Times New Roman" w:cs="Times New Roman" w:eastAsia="Times New Roman" w:hAnsi="Times New Roman"/>
        </w:rPr>
      </w:pPr>
      <w:hyperlink r:id="rId199">
        <w:r w:rsidDel="00000000" w:rsidR="00000000" w:rsidRPr="00000000">
          <w:rPr>
            <w:rFonts w:ascii="Times New Roman" w:cs="Times New Roman" w:eastAsia="Times New Roman" w:hAnsi="Times New Roman"/>
            <w:rtl w:val="0"/>
          </w:rPr>
          <w:t xml:space="preserve">Shahidian, N., Abreu, P., Santos, D., &amp; Barbosa-Povoa, A. (2025). Short-term forecasting of emergency medical services demand exploring machine learning. </w:t>
        </w:r>
      </w:hyperlink>
      <w:hyperlink r:id="rId200">
        <w:r w:rsidDel="00000000" w:rsidR="00000000" w:rsidRPr="00000000">
          <w:rPr>
            <w:rFonts w:ascii="Times New Roman" w:cs="Times New Roman" w:eastAsia="Times New Roman" w:hAnsi="Times New Roman"/>
            <w:i w:val="1"/>
            <w:iCs w:val="1"/>
            <w:rtl w:val="0"/>
          </w:rPr>
          <w:t xml:space="preserve">Computers &amp; Industrial Engineering</w:t>
        </w:r>
      </w:hyperlink>
      <w:hyperlink r:id="rId201">
        <w:r w:rsidDel="00000000" w:rsidR="00000000" w:rsidRPr="00000000">
          <w:rPr>
            <w:rFonts w:ascii="Times New Roman" w:cs="Times New Roman" w:eastAsia="Times New Roman" w:hAnsi="Times New Roman"/>
            <w:rtl w:val="0"/>
          </w:rPr>
          <w:t xml:space="preserve">, </w:t>
        </w:r>
      </w:hyperlink>
      <w:hyperlink r:id="rId202">
        <w:r w:rsidDel="00000000" w:rsidR="00000000" w:rsidRPr="00000000">
          <w:rPr>
            <w:rFonts w:ascii="Times New Roman" w:cs="Times New Roman" w:eastAsia="Times New Roman" w:hAnsi="Times New Roman"/>
            <w:i w:val="1"/>
            <w:iCs w:val="1"/>
            <w:rtl w:val="0"/>
          </w:rPr>
          <w:t xml:space="preserve">200</w:t>
        </w:r>
      </w:hyperlink>
      <w:hyperlink r:id="rId203">
        <w:r w:rsidDel="00000000" w:rsidR="00000000" w:rsidRPr="00000000">
          <w:rPr>
            <w:rFonts w:ascii="Times New Roman" w:cs="Times New Roman" w:eastAsia="Times New Roman" w:hAnsi="Times New Roman"/>
            <w:rtl w:val="0"/>
          </w:rPr>
          <w:t xml:space="preserve">, 110765. https://doi.org/10.1016/j.cie.2024.110765 </w:t>
        </w:r>
      </w:hyperlink>
      <w:r w:rsidDel="00000000" w:rsidR="00000000" w:rsidRPr="00000000">
        <w:rPr>
          <w:rtl w:val="0"/>
        </w:rPr>
      </w:r>
    </w:p>
    <w:p w:rsidR="00000000" w:rsidDel="00000000" w:rsidP="00000000" w:rsidRDefault="00000000" w:rsidRPr="00000000" w14:paraId="00000133">
      <w:pPr>
        <w:spacing w:after="0" w:before="240" w:line="480" w:lineRule="auto"/>
        <w:ind w:left="720"/>
        <w:jc w:val="both"/>
        <w:rPr>
          <w:rFonts w:ascii="Times New Roman" w:cs="Times New Roman" w:eastAsia="Times New Roman" w:hAnsi="Times New Roman"/>
        </w:rPr>
      </w:pPr>
      <w:hyperlink r:id="rId204">
        <w:r w:rsidDel="00000000" w:rsidR="00000000" w:rsidRPr="00000000">
          <w:rPr>
            <w:rFonts w:ascii="Times New Roman" w:cs="Times New Roman" w:eastAsia="Times New Roman" w:hAnsi="Times New Roman"/>
            <w:rtl w:val="0"/>
          </w:rPr>
          <w:t xml:space="preserve">Soltani, A., Ullah, S., Hedayatibaei, F., &amp; Muller, A. (2026). Disparities and determinants of EMS response times: A mixed-methods systematic review and LDA-based thematic analysis. </w:t>
        </w:r>
      </w:hyperlink>
      <w:hyperlink r:id="rId205">
        <w:r w:rsidDel="00000000" w:rsidR="00000000" w:rsidRPr="00000000">
          <w:rPr>
            <w:rFonts w:ascii="Times New Roman" w:cs="Times New Roman" w:eastAsia="Times New Roman" w:hAnsi="Times New Roman"/>
            <w:i w:val="1"/>
            <w:iCs w:val="1"/>
            <w:rtl w:val="0"/>
          </w:rPr>
          <w:t xml:space="preserve">International Journal of Emergency Services</w:t>
        </w:r>
      </w:hyperlink>
      <w:hyperlink r:id="rId206">
        <w:r w:rsidDel="00000000" w:rsidR="00000000" w:rsidRPr="00000000">
          <w:rPr>
            <w:rFonts w:ascii="Times New Roman" w:cs="Times New Roman" w:eastAsia="Times New Roman" w:hAnsi="Times New Roman"/>
            <w:rtl w:val="0"/>
          </w:rPr>
          <w:t xml:space="preserve">, </w:t>
        </w:r>
      </w:hyperlink>
      <w:hyperlink r:id="rId207">
        <w:r w:rsidDel="00000000" w:rsidR="00000000" w:rsidRPr="00000000">
          <w:rPr>
            <w:rFonts w:ascii="Times New Roman" w:cs="Times New Roman" w:eastAsia="Times New Roman" w:hAnsi="Times New Roman"/>
            <w:i w:val="1"/>
            <w:iCs w:val="1"/>
            <w:rtl w:val="0"/>
          </w:rPr>
          <w:t xml:space="preserve">15</w:t>
        </w:r>
      </w:hyperlink>
      <w:hyperlink r:id="rId208">
        <w:r w:rsidDel="00000000" w:rsidR="00000000" w:rsidRPr="00000000">
          <w:rPr>
            <w:rFonts w:ascii="Times New Roman" w:cs="Times New Roman" w:eastAsia="Times New Roman" w:hAnsi="Times New Roman"/>
            <w:rtl w:val="0"/>
          </w:rPr>
          <w:t xml:space="preserve">(2), 233–269. https://doi.org/10.1108/IJES-01-2025-0002 </w:t>
        </w:r>
      </w:hyperlink>
      <w:r w:rsidDel="00000000" w:rsidR="00000000" w:rsidRPr="00000000">
        <w:rPr>
          <w:rtl w:val="0"/>
        </w:rPr>
      </w:r>
    </w:p>
    <w:p w:rsidR="00000000" w:rsidDel="00000000" w:rsidP="00000000" w:rsidRDefault="00000000" w:rsidRPr="00000000" w14:paraId="00000134">
      <w:pPr>
        <w:spacing w:after="0" w:before="240" w:line="480" w:lineRule="auto"/>
        <w:ind w:left="720"/>
        <w:jc w:val="both"/>
        <w:rPr>
          <w:rFonts w:ascii="Times New Roman" w:cs="Times New Roman" w:eastAsia="Times New Roman" w:hAnsi="Times New Roman"/>
        </w:rPr>
      </w:pPr>
      <w:hyperlink r:id="rId209">
        <w:r w:rsidDel="00000000" w:rsidR="00000000" w:rsidRPr="00000000">
          <w:rPr>
            <w:rFonts w:ascii="Times New Roman" w:cs="Times New Roman" w:eastAsia="Times New Roman" w:hAnsi="Times New Roman"/>
            <w:rtl w:val="0"/>
          </w:rPr>
          <w:t xml:space="preserve">Tao, F., Zhang, H., Liu, A., &amp; Nee, A. Y. C. (2019). Digital Twin in Industry: State-of-the-Art. </w:t>
        </w:r>
      </w:hyperlink>
      <w:hyperlink r:id="rId210">
        <w:r w:rsidDel="00000000" w:rsidR="00000000" w:rsidRPr="00000000">
          <w:rPr>
            <w:rFonts w:ascii="Times New Roman" w:cs="Times New Roman" w:eastAsia="Times New Roman" w:hAnsi="Times New Roman"/>
            <w:i w:val="1"/>
            <w:iCs w:val="1"/>
            <w:rtl w:val="0"/>
          </w:rPr>
          <w:t xml:space="preserve">IEEE Transactions on Industrial Informatics</w:t>
        </w:r>
      </w:hyperlink>
      <w:hyperlink r:id="rId211">
        <w:r w:rsidDel="00000000" w:rsidR="00000000" w:rsidRPr="00000000">
          <w:rPr>
            <w:rFonts w:ascii="Times New Roman" w:cs="Times New Roman" w:eastAsia="Times New Roman" w:hAnsi="Times New Roman"/>
            <w:rtl w:val="0"/>
          </w:rPr>
          <w:t xml:space="preserve">, </w:t>
        </w:r>
      </w:hyperlink>
      <w:hyperlink r:id="rId212">
        <w:r w:rsidDel="00000000" w:rsidR="00000000" w:rsidRPr="00000000">
          <w:rPr>
            <w:rFonts w:ascii="Times New Roman" w:cs="Times New Roman" w:eastAsia="Times New Roman" w:hAnsi="Times New Roman"/>
            <w:i w:val="1"/>
            <w:iCs w:val="1"/>
            <w:rtl w:val="0"/>
          </w:rPr>
          <w:t xml:space="preserve">15</w:t>
        </w:r>
      </w:hyperlink>
      <w:hyperlink r:id="rId213">
        <w:r w:rsidDel="00000000" w:rsidR="00000000" w:rsidRPr="00000000">
          <w:rPr>
            <w:rFonts w:ascii="Times New Roman" w:cs="Times New Roman" w:eastAsia="Times New Roman" w:hAnsi="Times New Roman"/>
            <w:rtl w:val="0"/>
          </w:rPr>
          <w:t xml:space="preserve">(4), 2405–2415. https://doi.org/10.1109/TII.2018.2873186 </w:t>
        </w:r>
      </w:hyperlink>
      <w:r w:rsidDel="00000000" w:rsidR="00000000" w:rsidRPr="00000000">
        <w:rPr>
          <w:rtl w:val="0"/>
        </w:rPr>
      </w:r>
    </w:p>
    <w:p w:rsidR="00000000" w:rsidDel="00000000" w:rsidP="00000000" w:rsidRDefault="00000000" w:rsidRPr="00000000" w14:paraId="00000135">
      <w:pPr>
        <w:spacing w:after="0" w:before="240" w:line="480" w:lineRule="auto"/>
        <w:ind w:left="720"/>
        <w:jc w:val="both"/>
        <w:rPr>
          <w:rFonts w:ascii="Times New Roman" w:cs="Times New Roman" w:eastAsia="Times New Roman" w:hAnsi="Times New Roman"/>
        </w:rPr>
      </w:pPr>
      <w:hyperlink r:id="rId214">
        <w:r w:rsidDel="00000000" w:rsidR="00000000" w:rsidRPr="00000000">
          <w:rPr>
            <w:rFonts w:ascii="Times New Roman" w:cs="Times New Roman" w:eastAsia="Times New Roman" w:hAnsi="Times New Roman"/>
            <w:rtl w:val="0"/>
          </w:rPr>
          <w:t xml:space="preserve">Verma, S., Wilson, F., Wang, H., Smith, L., &amp; Tak, H. J. (2023). Impact of Community Socioeconomic Characteristics on Emergency Medical Service Delays in Responding to Fatal Vehicle Crashes. </w:t>
        </w:r>
      </w:hyperlink>
      <w:hyperlink r:id="rId215">
        <w:r w:rsidDel="00000000" w:rsidR="00000000" w:rsidRPr="00000000">
          <w:rPr>
            <w:rFonts w:ascii="Times New Roman" w:cs="Times New Roman" w:eastAsia="Times New Roman" w:hAnsi="Times New Roman"/>
            <w:i w:val="1"/>
            <w:iCs w:val="1"/>
            <w:rtl w:val="0"/>
          </w:rPr>
          <w:t xml:space="preserve">AJPM Focus</w:t>
        </w:r>
      </w:hyperlink>
      <w:hyperlink r:id="rId216">
        <w:r w:rsidDel="00000000" w:rsidR="00000000" w:rsidRPr="00000000">
          <w:rPr>
            <w:rFonts w:ascii="Times New Roman" w:cs="Times New Roman" w:eastAsia="Times New Roman" w:hAnsi="Times New Roman"/>
            <w:rtl w:val="0"/>
          </w:rPr>
          <w:t xml:space="preserve">, </w:t>
        </w:r>
      </w:hyperlink>
      <w:hyperlink r:id="rId217">
        <w:r w:rsidDel="00000000" w:rsidR="00000000" w:rsidRPr="00000000">
          <w:rPr>
            <w:rFonts w:ascii="Times New Roman" w:cs="Times New Roman" w:eastAsia="Times New Roman" w:hAnsi="Times New Roman"/>
            <w:i w:val="1"/>
            <w:iCs w:val="1"/>
            <w:rtl w:val="0"/>
          </w:rPr>
          <w:t xml:space="preserve">2</w:t>
        </w:r>
      </w:hyperlink>
      <w:hyperlink r:id="rId218">
        <w:r w:rsidDel="00000000" w:rsidR="00000000" w:rsidRPr="00000000">
          <w:rPr>
            <w:rFonts w:ascii="Times New Roman" w:cs="Times New Roman" w:eastAsia="Times New Roman" w:hAnsi="Times New Roman"/>
            <w:rtl w:val="0"/>
          </w:rPr>
          <w:t xml:space="preserve">(4), 100129. https://doi.org/10.1016/j.focus.2023.100129 </w:t>
        </w:r>
      </w:hyperlink>
      <w:r w:rsidDel="00000000" w:rsidR="00000000" w:rsidRPr="00000000">
        <w:rPr>
          <w:rtl w:val="0"/>
        </w:rPr>
      </w:r>
    </w:p>
    <w:p w:rsidR="00000000" w:rsidDel="00000000" w:rsidP="00000000" w:rsidRDefault="00000000" w:rsidRPr="00000000" w14:paraId="00000136">
      <w:pPr>
        <w:spacing w:after="0" w:before="240" w:line="480" w:lineRule="auto"/>
        <w:ind w:left="720"/>
        <w:jc w:val="both"/>
        <w:rPr>
          <w:rFonts w:ascii="Times New Roman" w:cs="Times New Roman" w:eastAsia="Times New Roman" w:hAnsi="Times New Roman"/>
        </w:rPr>
      </w:pPr>
      <w:hyperlink r:id="rId219">
        <w:r w:rsidDel="00000000" w:rsidR="00000000" w:rsidRPr="00000000">
          <w:rPr>
            <w:rFonts w:ascii="Times New Roman" w:cs="Times New Roman" w:eastAsia="Times New Roman" w:hAnsi="Times New Roman"/>
            <w:rtl w:val="0"/>
          </w:rPr>
          <w:t xml:space="preserve">Wolf, K., Dawson, R. J., Mills, J. P., Blythe, P., &amp; Morley, J. (2022). Towards a digital twin for supporting multi-agency incident management in a smart city. </w:t>
        </w:r>
      </w:hyperlink>
      <w:hyperlink r:id="rId220">
        <w:r w:rsidDel="00000000" w:rsidR="00000000" w:rsidRPr="00000000">
          <w:rPr>
            <w:rFonts w:ascii="Times New Roman" w:cs="Times New Roman" w:eastAsia="Times New Roman" w:hAnsi="Times New Roman"/>
            <w:i w:val="1"/>
            <w:iCs w:val="1"/>
            <w:rtl w:val="0"/>
          </w:rPr>
          <w:t xml:space="preserve">Scientific Reports</w:t>
        </w:r>
      </w:hyperlink>
      <w:hyperlink r:id="rId221">
        <w:r w:rsidDel="00000000" w:rsidR="00000000" w:rsidRPr="00000000">
          <w:rPr>
            <w:rFonts w:ascii="Times New Roman" w:cs="Times New Roman" w:eastAsia="Times New Roman" w:hAnsi="Times New Roman"/>
            <w:rtl w:val="0"/>
          </w:rPr>
          <w:t xml:space="preserve">, </w:t>
        </w:r>
      </w:hyperlink>
      <w:hyperlink r:id="rId222">
        <w:r w:rsidDel="00000000" w:rsidR="00000000" w:rsidRPr="00000000">
          <w:rPr>
            <w:rFonts w:ascii="Times New Roman" w:cs="Times New Roman" w:eastAsia="Times New Roman" w:hAnsi="Times New Roman"/>
            <w:i w:val="1"/>
            <w:iCs w:val="1"/>
            <w:rtl w:val="0"/>
          </w:rPr>
          <w:t xml:space="preserve">12</w:t>
        </w:r>
      </w:hyperlink>
      <w:hyperlink r:id="rId223">
        <w:r w:rsidDel="00000000" w:rsidR="00000000" w:rsidRPr="00000000">
          <w:rPr>
            <w:rFonts w:ascii="Times New Roman" w:cs="Times New Roman" w:eastAsia="Times New Roman" w:hAnsi="Times New Roman"/>
            <w:rtl w:val="0"/>
          </w:rPr>
          <w:t xml:space="preserve">(1), 16221. https://doi.org/10.1038/s41598-022-20178-8 </w:t>
        </w:r>
      </w:hyperlink>
      <w:r w:rsidDel="00000000" w:rsidR="00000000" w:rsidRPr="00000000">
        <w:rPr>
          <w:rtl w:val="0"/>
        </w:rPr>
      </w:r>
    </w:p>
    <w:p w:rsidR="00000000" w:rsidDel="00000000" w:rsidP="00000000" w:rsidRDefault="00000000" w:rsidRPr="00000000" w14:paraId="00000137">
      <w:pPr>
        <w:spacing w:after="0" w:before="240" w:line="480" w:lineRule="auto"/>
        <w:ind w:left="720"/>
        <w:jc w:val="both"/>
        <w:rPr>
          <w:rFonts w:ascii="Times New Roman" w:cs="Times New Roman" w:eastAsia="Times New Roman" w:hAnsi="Times New Roman"/>
        </w:rPr>
      </w:pPr>
      <w:hyperlink r:id="rId224">
        <w:r w:rsidDel="00000000" w:rsidR="00000000" w:rsidRPr="00000000">
          <w:rPr>
            <w:rFonts w:ascii="Times New Roman" w:cs="Times New Roman" w:eastAsia="Times New Roman" w:hAnsi="Times New Roman"/>
            <w:rtl w:val="0"/>
          </w:rPr>
          <w:t xml:space="preserve">Zia, Q., Wang, C., Zhu, S., &amp; Li, Y. (2026). Priority based inter-twin communication in vehicular digital twin networks. </w:t>
        </w:r>
      </w:hyperlink>
      <w:hyperlink r:id="rId225">
        <w:r w:rsidDel="00000000" w:rsidR="00000000" w:rsidRPr="00000000">
          <w:rPr>
            <w:rFonts w:ascii="Times New Roman" w:cs="Times New Roman" w:eastAsia="Times New Roman" w:hAnsi="Times New Roman"/>
            <w:i w:val="1"/>
            <w:iCs w:val="1"/>
            <w:rtl w:val="0"/>
          </w:rPr>
          <w:t xml:space="preserve">International Journal of Parallel, Emergent and Distributed Systems</w:t>
        </w:r>
      </w:hyperlink>
      <w:hyperlink r:id="rId226">
        <w:r w:rsidDel="00000000" w:rsidR="00000000" w:rsidRPr="00000000">
          <w:rPr>
            <w:rFonts w:ascii="Times New Roman" w:cs="Times New Roman" w:eastAsia="Times New Roman" w:hAnsi="Times New Roman"/>
            <w:rtl w:val="0"/>
          </w:rPr>
          <w:t xml:space="preserve">, </w:t>
        </w:r>
      </w:hyperlink>
      <w:hyperlink r:id="rId227">
        <w:r w:rsidDel="00000000" w:rsidR="00000000" w:rsidRPr="00000000">
          <w:rPr>
            <w:rFonts w:ascii="Times New Roman" w:cs="Times New Roman" w:eastAsia="Times New Roman" w:hAnsi="Times New Roman"/>
            <w:i w:val="1"/>
            <w:iCs w:val="1"/>
            <w:rtl w:val="0"/>
          </w:rPr>
          <w:t xml:space="preserve">41</w:t>
        </w:r>
      </w:hyperlink>
      <w:hyperlink r:id="rId228">
        <w:r w:rsidDel="00000000" w:rsidR="00000000" w:rsidRPr="00000000">
          <w:rPr>
            <w:rFonts w:ascii="Times New Roman" w:cs="Times New Roman" w:eastAsia="Times New Roman" w:hAnsi="Times New Roman"/>
            <w:rtl w:val="0"/>
          </w:rPr>
          <w:t xml:space="preserve">(1), 18–33. https://doi.org/10.1080/17445760.2024.2398082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lLhYK" TargetMode="External"/><Relationship Id="rId190" Type="http://schemas.openxmlformats.org/officeDocument/2006/relationships/hyperlink" Target="https://www.zotero.org/google-docs/?2QjwsD" TargetMode="External"/><Relationship Id="rId42" Type="http://schemas.openxmlformats.org/officeDocument/2006/relationships/image" Target="media/image2.png"/><Relationship Id="rId41" Type="http://schemas.openxmlformats.org/officeDocument/2006/relationships/hyperlink" Target="https://www.zotero.org/google-docs/?50QcC8" TargetMode="External"/><Relationship Id="rId44" Type="http://schemas.openxmlformats.org/officeDocument/2006/relationships/hyperlink" Target="https://www.zotero.org/google-docs/?cj2pl4" TargetMode="External"/><Relationship Id="rId194" Type="http://schemas.openxmlformats.org/officeDocument/2006/relationships/hyperlink" Target="https://www.zotero.org/google-docs/?2QjwsD" TargetMode="External"/><Relationship Id="rId43" Type="http://schemas.openxmlformats.org/officeDocument/2006/relationships/hyperlink" Target="https://www.zotero.org/google-docs/?s7nF8H" TargetMode="External"/><Relationship Id="rId193" Type="http://schemas.openxmlformats.org/officeDocument/2006/relationships/hyperlink" Target="https://www.zotero.org/google-docs/?2QjwsD" TargetMode="External"/><Relationship Id="rId46" Type="http://schemas.openxmlformats.org/officeDocument/2006/relationships/hyperlink" Target="https://www.zotero.org/google-docs/?Wg9w6P" TargetMode="External"/><Relationship Id="rId192" Type="http://schemas.openxmlformats.org/officeDocument/2006/relationships/hyperlink" Target="https://www.zotero.org/google-docs/?2QjwsD" TargetMode="External"/><Relationship Id="rId45" Type="http://schemas.openxmlformats.org/officeDocument/2006/relationships/hyperlink" Target="https://www.zotero.org/google-docs/?mCjjRM" TargetMode="External"/><Relationship Id="rId191" Type="http://schemas.openxmlformats.org/officeDocument/2006/relationships/hyperlink" Target="https://www.zotero.org/google-docs/?2QjwsD" TargetMode="External"/><Relationship Id="rId48" Type="http://schemas.openxmlformats.org/officeDocument/2006/relationships/hyperlink" Target="https://www.zotero.org/google-docs/?5HLNs1" TargetMode="External"/><Relationship Id="rId187" Type="http://schemas.openxmlformats.org/officeDocument/2006/relationships/hyperlink" Target="https://www.zotero.org/google-docs/?2QjwsD" TargetMode="External"/><Relationship Id="rId47" Type="http://schemas.openxmlformats.org/officeDocument/2006/relationships/hyperlink" Target="https://www.zotero.org/google-docs/?gnSSGG" TargetMode="External"/><Relationship Id="rId186" Type="http://schemas.openxmlformats.org/officeDocument/2006/relationships/hyperlink" Target="https://www.zotero.org/google-docs/?2QjwsD" TargetMode="External"/><Relationship Id="rId185" Type="http://schemas.openxmlformats.org/officeDocument/2006/relationships/hyperlink" Target="https://www.zotero.org/google-docs/?2QjwsD" TargetMode="External"/><Relationship Id="rId49" Type="http://schemas.openxmlformats.org/officeDocument/2006/relationships/hyperlink" Target="https://www.zotero.org/google-docs/?4AQy7K" TargetMode="External"/><Relationship Id="rId184" Type="http://schemas.openxmlformats.org/officeDocument/2006/relationships/hyperlink" Target="https://www.zotero.org/google-docs/?2QjwsD" TargetMode="External"/><Relationship Id="rId189" Type="http://schemas.openxmlformats.org/officeDocument/2006/relationships/hyperlink" Target="https://www.zotero.org/google-docs/?2QjwsD" TargetMode="External"/><Relationship Id="rId188" Type="http://schemas.openxmlformats.org/officeDocument/2006/relationships/hyperlink" Target="https://www.zotero.org/google-docs/?2QjwsD" TargetMode="External"/><Relationship Id="rId31" Type="http://schemas.openxmlformats.org/officeDocument/2006/relationships/hyperlink" Target="https://www.zotero.org/google-docs/?LSHy8f" TargetMode="External"/><Relationship Id="rId30" Type="http://schemas.openxmlformats.org/officeDocument/2006/relationships/hyperlink" Target="https://www.zotero.org/google-docs/?1MtFcP" TargetMode="External"/><Relationship Id="rId33" Type="http://schemas.openxmlformats.org/officeDocument/2006/relationships/hyperlink" Target="https://www.zotero.org/google-docs/?LWtiq1" TargetMode="External"/><Relationship Id="rId183" Type="http://schemas.openxmlformats.org/officeDocument/2006/relationships/hyperlink" Target="https://www.zotero.org/google-docs/?2QjwsD" TargetMode="External"/><Relationship Id="rId32" Type="http://schemas.openxmlformats.org/officeDocument/2006/relationships/hyperlink" Target="https://www.zotero.org/google-docs/?4n1xI4" TargetMode="External"/><Relationship Id="rId182" Type="http://schemas.openxmlformats.org/officeDocument/2006/relationships/hyperlink" Target="https://www.zotero.org/google-docs/?2QjwsD" TargetMode="External"/><Relationship Id="rId35" Type="http://schemas.openxmlformats.org/officeDocument/2006/relationships/hyperlink" Target="https://www.zotero.org/google-docs/?aFSY92" TargetMode="External"/><Relationship Id="rId181" Type="http://schemas.openxmlformats.org/officeDocument/2006/relationships/hyperlink" Target="https://www.zotero.org/google-docs/?2QjwsD" TargetMode="External"/><Relationship Id="rId34" Type="http://schemas.openxmlformats.org/officeDocument/2006/relationships/hyperlink" Target="https://www.zotero.org/google-docs/?I1KGXn" TargetMode="External"/><Relationship Id="rId180" Type="http://schemas.openxmlformats.org/officeDocument/2006/relationships/hyperlink" Target="https://www.zotero.org/google-docs/?2QjwsD" TargetMode="External"/><Relationship Id="rId37" Type="http://schemas.openxmlformats.org/officeDocument/2006/relationships/hyperlink" Target="https://www.zotero.org/google-docs/?fN4fbM" TargetMode="External"/><Relationship Id="rId176" Type="http://schemas.openxmlformats.org/officeDocument/2006/relationships/hyperlink" Target="https://www.zotero.org/google-docs/?2QjwsD" TargetMode="External"/><Relationship Id="rId36" Type="http://schemas.openxmlformats.org/officeDocument/2006/relationships/hyperlink" Target="https://www.zotero.org/google-docs/?RfPQrx" TargetMode="External"/><Relationship Id="rId175" Type="http://schemas.openxmlformats.org/officeDocument/2006/relationships/hyperlink" Target="https://www.zotero.org/google-docs/?2QjwsD" TargetMode="External"/><Relationship Id="rId39" Type="http://schemas.openxmlformats.org/officeDocument/2006/relationships/hyperlink" Target="https://www.zotero.org/google-docs/?97beQM" TargetMode="External"/><Relationship Id="rId174" Type="http://schemas.openxmlformats.org/officeDocument/2006/relationships/hyperlink" Target="https://www.zotero.org/google-docs/?2QjwsD" TargetMode="External"/><Relationship Id="rId38" Type="http://schemas.openxmlformats.org/officeDocument/2006/relationships/hyperlink" Target="https://www.zotero.org/google-docs/?J1N5w4" TargetMode="External"/><Relationship Id="rId173" Type="http://schemas.openxmlformats.org/officeDocument/2006/relationships/hyperlink" Target="https://www.zotero.org/google-docs/?2QjwsD" TargetMode="External"/><Relationship Id="rId179" Type="http://schemas.openxmlformats.org/officeDocument/2006/relationships/hyperlink" Target="https://www.zotero.org/google-docs/?2QjwsD" TargetMode="External"/><Relationship Id="rId178" Type="http://schemas.openxmlformats.org/officeDocument/2006/relationships/hyperlink" Target="https://www.zotero.org/google-docs/?2QjwsD" TargetMode="External"/><Relationship Id="rId177" Type="http://schemas.openxmlformats.org/officeDocument/2006/relationships/hyperlink" Target="https://www.zotero.org/google-docs/?2QjwsD" TargetMode="External"/><Relationship Id="rId20" Type="http://schemas.openxmlformats.org/officeDocument/2006/relationships/hyperlink" Target="https://www.zotero.org/google-docs/?8WqQkS" TargetMode="External"/><Relationship Id="rId22" Type="http://schemas.openxmlformats.org/officeDocument/2006/relationships/hyperlink" Target="https://www.zotero.org/google-docs/?Punfra" TargetMode="External"/><Relationship Id="rId21" Type="http://schemas.openxmlformats.org/officeDocument/2006/relationships/hyperlink" Target="https://www.zotero.org/google-docs/?9Xdd3F" TargetMode="External"/><Relationship Id="rId24" Type="http://schemas.openxmlformats.org/officeDocument/2006/relationships/hyperlink" Target="https://www.zotero.org/google-docs/?Io6vQw" TargetMode="External"/><Relationship Id="rId23" Type="http://schemas.openxmlformats.org/officeDocument/2006/relationships/hyperlink" Target="https://www.zotero.org/google-docs/?EvAyIa" TargetMode="External"/><Relationship Id="rId26" Type="http://schemas.openxmlformats.org/officeDocument/2006/relationships/hyperlink" Target="https://www.zotero.org/google-docs/?LAOhWr" TargetMode="External"/><Relationship Id="rId25" Type="http://schemas.openxmlformats.org/officeDocument/2006/relationships/hyperlink" Target="https://www.zotero.org/google-docs/?pVF5nG" TargetMode="External"/><Relationship Id="rId28" Type="http://schemas.openxmlformats.org/officeDocument/2006/relationships/hyperlink" Target="https://www.zotero.org/google-docs/?PvWZKG" TargetMode="External"/><Relationship Id="rId27" Type="http://schemas.openxmlformats.org/officeDocument/2006/relationships/hyperlink" Target="https://www.zotero.org/google-docs/?tkO276" TargetMode="External"/><Relationship Id="rId29" Type="http://schemas.openxmlformats.org/officeDocument/2006/relationships/hyperlink" Target="https://www.zotero.org/google-docs/?dgVCmc" TargetMode="External"/><Relationship Id="rId11" Type="http://schemas.openxmlformats.org/officeDocument/2006/relationships/hyperlink" Target="mailto:jsantos@unitru.edu.pe" TargetMode="External"/><Relationship Id="rId10" Type="http://schemas.openxmlformats.org/officeDocument/2006/relationships/hyperlink" Target="https://orcid.org/0000-0002-8882-9256" TargetMode="External"/><Relationship Id="rId13" Type="http://schemas.openxmlformats.org/officeDocument/2006/relationships/hyperlink" Target="https://www.zotero.org/google-docs/?eSqnob" TargetMode="External"/><Relationship Id="rId12" Type="http://schemas.openxmlformats.org/officeDocument/2006/relationships/hyperlink" Target="https://www.zotero.org/google-docs/?7nu268" TargetMode="External"/><Relationship Id="rId15" Type="http://schemas.openxmlformats.org/officeDocument/2006/relationships/hyperlink" Target="https://www.zotero.org/google-docs/?SHnepP" TargetMode="External"/><Relationship Id="rId198" Type="http://schemas.openxmlformats.org/officeDocument/2006/relationships/hyperlink" Target="https://www.zotero.org/google-docs/?2QjwsD" TargetMode="External"/><Relationship Id="rId14" Type="http://schemas.openxmlformats.org/officeDocument/2006/relationships/hyperlink" Target="https://www.zotero.org/google-docs/?inTrE7" TargetMode="External"/><Relationship Id="rId197" Type="http://schemas.openxmlformats.org/officeDocument/2006/relationships/hyperlink" Target="https://www.zotero.org/google-docs/?2QjwsD" TargetMode="External"/><Relationship Id="rId17" Type="http://schemas.openxmlformats.org/officeDocument/2006/relationships/hyperlink" Target="https://www.zotero.org/google-docs/?j00E9P" TargetMode="External"/><Relationship Id="rId196" Type="http://schemas.openxmlformats.org/officeDocument/2006/relationships/hyperlink" Target="https://www.zotero.org/google-docs/?2QjwsD" TargetMode="External"/><Relationship Id="rId16" Type="http://schemas.openxmlformats.org/officeDocument/2006/relationships/hyperlink" Target="https://www.zotero.org/google-docs/?ZBPuFx" TargetMode="External"/><Relationship Id="rId195" Type="http://schemas.openxmlformats.org/officeDocument/2006/relationships/hyperlink" Target="https://www.zotero.org/google-docs/?2QjwsD" TargetMode="External"/><Relationship Id="rId19" Type="http://schemas.openxmlformats.org/officeDocument/2006/relationships/hyperlink" Target="https://www.zotero.org/google-docs/?6FIePt" TargetMode="External"/><Relationship Id="rId18" Type="http://schemas.openxmlformats.org/officeDocument/2006/relationships/hyperlink" Target="https://www.zotero.org/google-docs/?yQ94LN" TargetMode="External"/><Relationship Id="rId199" Type="http://schemas.openxmlformats.org/officeDocument/2006/relationships/hyperlink" Target="https://www.zotero.org/google-docs/?2QjwsD" TargetMode="External"/><Relationship Id="rId84" Type="http://schemas.openxmlformats.org/officeDocument/2006/relationships/hyperlink" Target="https://www.zotero.org/google-docs/?2QjwsD" TargetMode="External"/><Relationship Id="rId83" Type="http://schemas.openxmlformats.org/officeDocument/2006/relationships/hyperlink" Target="https://www.zotero.org/google-docs/?2QjwsD" TargetMode="External"/><Relationship Id="rId86" Type="http://schemas.openxmlformats.org/officeDocument/2006/relationships/hyperlink" Target="https://www.zotero.org/google-docs/?2QjwsD" TargetMode="External"/><Relationship Id="rId85" Type="http://schemas.openxmlformats.org/officeDocument/2006/relationships/hyperlink" Target="https://www.zotero.org/google-docs/?2QjwsD" TargetMode="External"/><Relationship Id="rId88" Type="http://schemas.openxmlformats.org/officeDocument/2006/relationships/hyperlink" Target="https://www.zotero.org/google-docs/?2QjwsD" TargetMode="External"/><Relationship Id="rId150" Type="http://schemas.openxmlformats.org/officeDocument/2006/relationships/hyperlink" Target="https://www.zotero.org/google-docs/?2QjwsD" TargetMode="External"/><Relationship Id="rId87" Type="http://schemas.openxmlformats.org/officeDocument/2006/relationships/hyperlink" Target="https://www.zotero.org/google-docs/?2QjwsD" TargetMode="External"/><Relationship Id="rId89" Type="http://schemas.openxmlformats.org/officeDocument/2006/relationships/hyperlink" Target="https://www.zotero.org/google-docs/?2QjwsD" TargetMode="External"/><Relationship Id="rId80" Type="http://schemas.openxmlformats.org/officeDocument/2006/relationships/hyperlink" Target="https://www.zotero.org/google-docs/?2QjwsD" TargetMode="External"/><Relationship Id="rId82" Type="http://schemas.openxmlformats.org/officeDocument/2006/relationships/hyperlink" Target="https://www.zotero.org/google-docs/?2QjwsD" TargetMode="External"/><Relationship Id="rId81" Type="http://schemas.openxmlformats.org/officeDocument/2006/relationships/hyperlink" Target="https://www.zotero.org/google-docs/?2Qjw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2QjwsD" TargetMode="External"/><Relationship Id="rId4" Type="http://schemas.openxmlformats.org/officeDocument/2006/relationships/numbering" Target="numbering.xml"/><Relationship Id="rId148" Type="http://schemas.openxmlformats.org/officeDocument/2006/relationships/hyperlink" Target="https://www.zotero.org/google-docs/?2QjwsD" TargetMode="External"/><Relationship Id="rId9" Type="http://schemas.openxmlformats.org/officeDocument/2006/relationships/hyperlink" Target="mailto:gpulacheq@unitru.edu.pe" TargetMode="External"/><Relationship Id="rId143" Type="http://schemas.openxmlformats.org/officeDocument/2006/relationships/hyperlink" Target="https://www.zotero.org/google-docs/?2QjwsD" TargetMode="External"/><Relationship Id="rId142" Type="http://schemas.openxmlformats.org/officeDocument/2006/relationships/hyperlink" Target="https://www.zotero.org/google-docs/?2QjwsD" TargetMode="External"/><Relationship Id="rId141" Type="http://schemas.openxmlformats.org/officeDocument/2006/relationships/hyperlink" Target="https://www.zotero.org/google-docs/?2QjwsD" TargetMode="External"/><Relationship Id="rId140" Type="http://schemas.openxmlformats.org/officeDocument/2006/relationships/hyperlink" Target="https://www.zotero.org/google-docs/?2QjwsD" TargetMode="External"/><Relationship Id="rId5" Type="http://schemas.openxmlformats.org/officeDocument/2006/relationships/styles" Target="styles.xml"/><Relationship Id="rId147" Type="http://schemas.openxmlformats.org/officeDocument/2006/relationships/hyperlink" Target="https://www.zotero.org/google-docs/?2QjwsD" TargetMode="External"/><Relationship Id="rId6" Type="http://schemas.openxmlformats.org/officeDocument/2006/relationships/hyperlink" Target="https://orcid.org/0009-0005-3038-242X" TargetMode="External"/><Relationship Id="rId146" Type="http://schemas.openxmlformats.org/officeDocument/2006/relationships/hyperlink" Target="https://www.zotero.org/google-docs/?2QjwsD" TargetMode="External"/><Relationship Id="rId7" Type="http://schemas.openxmlformats.org/officeDocument/2006/relationships/hyperlink" Target="mailto:jgarciaa@unitru.edu.pe" TargetMode="External"/><Relationship Id="rId145" Type="http://schemas.openxmlformats.org/officeDocument/2006/relationships/hyperlink" Target="https://www.zotero.org/google-docs/?2QjwsD" TargetMode="External"/><Relationship Id="rId8" Type="http://schemas.openxmlformats.org/officeDocument/2006/relationships/hyperlink" Target="https://orcid.org/0009-0008-2898-161X" TargetMode="External"/><Relationship Id="rId144" Type="http://schemas.openxmlformats.org/officeDocument/2006/relationships/hyperlink" Target="https://www.zotero.org/google-docs/?2QjwsD" TargetMode="External"/><Relationship Id="rId73" Type="http://schemas.openxmlformats.org/officeDocument/2006/relationships/hyperlink" Target="https://www.zotero.org/google-docs/?2QjwsD" TargetMode="External"/><Relationship Id="rId72" Type="http://schemas.openxmlformats.org/officeDocument/2006/relationships/hyperlink" Target="https://www.zotero.org/google-docs/?2QjwsD" TargetMode="External"/><Relationship Id="rId75" Type="http://schemas.openxmlformats.org/officeDocument/2006/relationships/hyperlink" Target="https://www.zotero.org/google-docs/?2QjwsD" TargetMode="External"/><Relationship Id="rId74" Type="http://schemas.openxmlformats.org/officeDocument/2006/relationships/hyperlink" Target="https://www.zotero.org/google-docs/?2QjwsD" TargetMode="External"/><Relationship Id="rId77" Type="http://schemas.openxmlformats.org/officeDocument/2006/relationships/hyperlink" Target="https://www.zotero.org/google-docs/?2QjwsD" TargetMode="External"/><Relationship Id="rId76" Type="http://schemas.openxmlformats.org/officeDocument/2006/relationships/hyperlink" Target="https://www.zotero.org/google-docs/?2QjwsD" TargetMode="External"/><Relationship Id="rId79" Type="http://schemas.openxmlformats.org/officeDocument/2006/relationships/hyperlink" Target="https://www.zotero.org/google-docs/?2QjwsD" TargetMode="External"/><Relationship Id="rId78" Type="http://schemas.openxmlformats.org/officeDocument/2006/relationships/hyperlink" Target="https://www.zotero.org/google-docs/?2QjwsD" TargetMode="External"/><Relationship Id="rId71" Type="http://schemas.openxmlformats.org/officeDocument/2006/relationships/hyperlink" Target="https://www.zotero.org/google-docs/?2QjwsD" TargetMode="External"/><Relationship Id="rId70" Type="http://schemas.openxmlformats.org/officeDocument/2006/relationships/hyperlink" Target="https://www.zotero.org/google-docs/?2QjwsD" TargetMode="External"/><Relationship Id="rId139" Type="http://schemas.openxmlformats.org/officeDocument/2006/relationships/hyperlink" Target="https://www.zotero.org/google-docs/?2QjwsD" TargetMode="External"/><Relationship Id="rId138" Type="http://schemas.openxmlformats.org/officeDocument/2006/relationships/hyperlink" Target="https://www.zotero.org/google-docs/?2QjwsD" TargetMode="External"/><Relationship Id="rId137" Type="http://schemas.openxmlformats.org/officeDocument/2006/relationships/hyperlink" Target="https://www.zotero.org/google-docs/?2QjwsD" TargetMode="External"/><Relationship Id="rId132" Type="http://schemas.openxmlformats.org/officeDocument/2006/relationships/hyperlink" Target="https://www.zotero.org/google-docs/?2QjwsD" TargetMode="External"/><Relationship Id="rId131" Type="http://schemas.openxmlformats.org/officeDocument/2006/relationships/hyperlink" Target="https://www.zotero.org/google-docs/?2QjwsD" TargetMode="External"/><Relationship Id="rId130" Type="http://schemas.openxmlformats.org/officeDocument/2006/relationships/hyperlink" Target="https://www.zotero.org/google-docs/?2QjwsD" TargetMode="External"/><Relationship Id="rId136" Type="http://schemas.openxmlformats.org/officeDocument/2006/relationships/hyperlink" Target="https://www.zotero.org/google-docs/?2QjwsD" TargetMode="External"/><Relationship Id="rId135" Type="http://schemas.openxmlformats.org/officeDocument/2006/relationships/hyperlink" Target="https://www.zotero.org/google-docs/?2QjwsD" TargetMode="External"/><Relationship Id="rId134" Type="http://schemas.openxmlformats.org/officeDocument/2006/relationships/hyperlink" Target="https://www.zotero.org/google-docs/?2QjwsD" TargetMode="External"/><Relationship Id="rId133" Type="http://schemas.openxmlformats.org/officeDocument/2006/relationships/hyperlink" Target="https://www.zotero.org/google-docs/?2QjwsD" TargetMode="External"/><Relationship Id="rId62" Type="http://schemas.openxmlformats.org/officeDocument/2006/relationships/hyperlink" Target="https://www.zotero.org/google-docs/?IG1k9y" TargetMode="External"/><Relationship Id="rId61" Type="http://schemas.openxmlformats.org/officeDocument/2006/relationships/hyperlink" Target="https://www.zotero.org/google-docs/?Sp26yT" TargetMode="External"/><Relationship Id="rId64" Type="http://schemas.openxmlformats.org/officeDocument/2006/relationships/hyperlink" Target="https://www.zotero.org/google-docs/?TrQrdh" TargetMode="External"/><Relationship Id="rId63" Type="http://schemas.openxmlformats.org/officeDocument/2006/relationships/hyperlink" Target="https://www.zotero.org/google-docs/?Y39VmQ" TargetMode="External"/><Relationship Id="rId66" Type="http://schemas.openxmlformats.org/officeDocument/2006/relationships/hyperlink" Target="https://www.zotero.org/google-docs/?2QjwsD" TargetMode="External"/><Relationship Id="rId172" Type="http://schemas.openxmlformats.org/officeDocument/2006/relationships/hyperlink" Target="https://www.zotero.org/google-docs/?2QjwsD" TargetMode="External"/><Relationship Id="rId65" Type="http://schemas.openxmlformats.org/officeDocument/2006/relationships/hyperlink" Target="https://www.zotero.org/google-docs/?2QjwsD" TargetMode="External"/><Relationship Id="rId171" Type="http://schemas.openxmlformats.org/officeDocument/2006/relationships/hyperlink" Target="https://www.zotero.org/google-docs/?2QjwsD" TargetMode="External"/><Relationship Id="rId68" Type="http://schemas.openxmlformats.org/officeDocument/2006/relationships/hyperlink" Target="https://www.zotero.org/google-docs/?2QjwsD" TargetMode="External"/><Relationship Id="rId170" Type="http://schemas.openxmlformats.org/officeDocument/2006/relationships/hyperlink" Target="https://www.zotero.org/google-docs/?2QjwsD" TargetMode="External"/><Relationship Id="rId67" Type="http://schemas.openxmlformats.org/officeDocument/2006/relationships/hyperlink" Target="https://www.zotero.org/google-docs/?2QjwsD" TargetMode="External"/><Relationship Id="rId60" Type="http://schemas.openxmlformats.org/officeDocument/2006/relationships/hyperlink" Target="https://www.zotero.org/google-docs/?BrLO3C" TargetMode="External"/><Relationship Id="rId165" Type="http://schemas.openxmlformats.org/officeDocument/2006/relationships/hyperlink" Target="https://www.zotero.org/google-docs/?2QjwsD" TargetMode="External"/><Relationship Id="rId69" Type="http://schemas.openxmlformats.org/officeDocument/2006/relationships/hyperlink" Target="https://www.zotero.org/google-docs/?2QjwsD" TargetMode="External"/><Relationship Id="rId164" Type="http://schemas.openxmlformats.org/officeDocument/2006/relationships/hyperlink" Target="https://www.zotero.org/google-docs/?2QjwsD" TargetMode="External"/><Relationship Id="rId163" Type="http://schemas.openxmlformats.org/officeDocument/2006/relationships/hyperlink" Target="https://www.zotero.org/google-docs/?2QjwsD" TargetMode="External"/><Relationship Id="rId162" Type="http://schemas.openxmlformats.org/officeDocument/2006/relationships/hyperlink" Target="https://www.zotero.org/google-docs/?2QjwsD" TargetMode="External"/><Relationship Id="rId169" Type="http://schemas.openxmlformats.org/officeDocument/2006/relationships/hyperlink" Target="https://www.zotero.org/google-docs/?2QjwsD" TargetMode="External"/><Relationship Id="rId168" Type="http://schemas.openxmlformats.org/officeDocument/2006/relationships/hyperlink" Target="https://www.zotero.org/google-docs/?2QjwsD" TargetMode="External"/><Relationship Id="rId167" Type="http://schemas.openxmlformats.org/officeDocument/2006/relationships/hyperlink" Target="https://www.zotero.org/google-docs/?2QjwsD" TargetMode="External"/><Relationship Id="rId166" Type="http://schemas.openxmlformats.org/officeDocument/2006/relationships/hyperlink" Target="https://www.zotero.org/google-docs/?2QjwsD" TargetMode="External"/><Relationship Id="rId51" Type="http://schemas.openxmlformats.org/officeDocument/2006/relationships/hyperlink" Target="https://www.zotero.org/google-docs/?ayQcMl" TargetMode="External"/><Relationship Id="rId50" Type="http://schemas.openxmlformats.org/officeDocument/2006/relationships/hyperlink" Target="https://www.zotero.org/google-docs/?yo1dr2" TargetMode="External"/><Relationship Id="rId53" Type="http://schemas.openxmlformats.org/officeDocument/2006/relationships/hyperlink" Target="https://www.zotero.org/google-docs/?IrkOIM" TargetMode="External"/><Relationship Id="rId52" Type="http://schemas.openxmlformats.org/officeDocument/2006/relationships/hyperlink" Target="https://www.zotero.org/google-docs/?GYSSas" TargetMode="External"/><Relationship Id="rId55" Type="http://schemas.openxmlformats.org/officeDocument/2006/relationships/hyperlink" Target="https://www.zotero.org/google-docs/?QsQ2P3" TargetMode="External"/><Relationship Id="rId161" Type="http://schemas.openxmlformats.org/officeDocument/2006/relationships/hyperlink" Target="https://www.zotero.org/google-docs/?2QjwsD" TargetMode="External"/><Relationship Id="rId54" Type="http://schemas.openxmlformats.org/officeDocument/2006/relationships/hyperlink" Target="https://www.zotero.org/google-docs/?eyMSy8" TargetMode="External"/><Relationship Id="rId160" Type="http://schemas.openxmlformats.org/officeDocument/2006/relationships/hyperlink" Target="https://www.zotero.org/google-docs/?2QjwsD" TargetMode="External"/><Relationship Id="rId57" Type="http://schemas.openxmlformats.org/officeDocument/2006/relationships/hyperlink" Target="https://www.zotero.org/google-docs/?XFGhyC" TargetMode="External"/><Relationship Id="rId56" Type="http://schemas.openxmlformats.org/officeDocument/2006/relationships/hyperlink" Target="https://www.zotero.org/google-docs/?CBsV2C" TargetMode="External"/><Relationship Id="rId159" Type="http://schemas.openxmlformats.org/officeDocument/2006/relationships/hyperlink" Target="https://www.zotero.org/google-docs/?2QjwsD" TargetMode="External"/><Relationship Id="rId59" Type="http://schemas.openxmlformats.org/officeDocument/2006/relationships/hyperlink" Target="https://www.zotero.org/google-docs/?4R76ey" TargetMode="External"/><Relationship Id="rId154" Type="http://schemas.openxmlformats.org/officeDocument/2006/relationships/hyperlink" Target="https://www.zotero.org/google-docs/?2QjwsD" TargetMode="External"/><Relationship Id="rId58" Type="http://schemas.openxmlformats.org/officeDocument/2006/relationships/image" Target="media/image1.png"/><Relationship Id="rId153" Type="http://schemas.openxmlformats.org/officeDocument/2006/relationships/hyperlink" Target="https://www.zotero.org/google-docs/?2QjwsD" TargetMode="External"/><Relationship Id="rId152" Type="http://schemas.openxmlformats.org/officeDocument/2006/relationships/hyperlink" Target="https://www.zotero.org/google-docs/?2QjwsD" TargetMode="External"/><Relationship Id="rId151" Type="http://schemas.openxmlformats.org/officeDocument/2006/relationships/hyperlink" Target="https://www.zotero.org/google-docs/?2QjwsD" TargetMode="External"/><Relationship Id="rId158" Type="http://schemas.openxmlformats.org/officeDocument/2006/relationships/hyperlink" Target="https://www.zotero.org/google-docs/?2QjwsD" TargetMode="External"/><Relationship Id="rId157" Type="http://schemas.openxmlformats.org/officeDocument/2006/relationships/hyperlink" Target="https://www.zotero.org/google-docs/?2QjwsD" TargetMode="External"/><Relationship Id="rId156" Type="http://schemas.openxmlformats.org/officeDocument/2006/relationships/hyperlink" Target="https://www.zotero.org/google-docs/?2QjwsD" TargetMode="External"/><Relationship Id="rId155" Type="http://schemas.openxmlformats.org/officeDocument/2006/relationships/hyperlink" Target="https://www.zotero.org/google-docs/?2QjwsD" TargetMode="External"/><Relationship Id="rId107" Type="http://schemas.openxmlformats.org/officeDocument/2006/relationships/hyperlink" Target="https://www.zotero.org/google-docs/?2QjwsD" TargetMode="External"/><Relationship Id="rId228" Type="http://schemas.openxmlformats.org/officeDocument/2006/relationships/hyperlink" Target="https://www.zotero.org/google-docs/?2QjwsD" TargetMode="External"/><Relationship Id="rId106" Type="http://schemas.openxmlformats.org/officeDocument/2006/relationships/hyperlink" Target="https://www.zotero.org/google-docs/?2QjwsD" TargetMode="External"/><Relationship Id="rId227" Type="http://schemas.openxmlformats.org/officeDocument/2006/relationships/hyperlink" Target="https://www.zotero.org/google-docs/?2QjwsD" TargetMode="External"/><Relationship Id="rId105" Type="http://schemas.openxmlformats.org/officeDocument/2006/relationships/hyperlink" Target="https://www.zotero.org/google-docs/?2QjwsD" TargetMode="External"/><Relationship Id="rId226" Type="http://schemas.openxmlformats.org/officeDocument/2006/relationships/hyperlink" Target="https://www.zotero.org/google-docs/?2QjwsD" TargetMode="External"/><Relationship Id="rId104" Type="http://schemas.openxmlformats.org/officeDocument/2006/relationships/hyperlink" Target="https://www.zotero.org/google-docs/?2QjwsD" TargetMode="External"/><Relationship Id="rId225" Type="http://schemas.openxmlformats.org/officeDocument/2006/relationships/hyperlink" Target="https://www.zotero.org/google-docs/?2QjwsD" TargetMode="External"/><Relationship Id="rId109" Type="http://schemas.openxmlformats.org/officeDocument/2006/relationships/hyperlink" Target="https://www.zotero.org/google-docs/?2QjwsD" TargetMode="External"/><Relationship Id="rId108" Type="http://schemas.openxmlformats.org/officeDocument/2006/relationships/hyperlink" Target="https://www.zotero.org/google-docs/?2QjwsD" TargetMode="External"/><Relationship Id="rId220" Type="http://schemas.openxmlformats.org/officeDocument/2006/relationships/hyperlink" Target="https://www.zotero.org/google-docs/?2QjwsD" TargetMode="External"/><Relationship Id="rId103" Type="http://schemas.openxmlformats.org/officeDocument/2006/relationships/hyperlink" Target="https://www.zotero.org/google-docs/?2QjwsD" TargetMode="External"/><Relationship Id="rId224" Type="http://schemas.openxmlformats.org/officeDocument/2006/relationships/hyperlink" Target="https://www.zotero.org/google-docs/?2QjwsD" TargetMode="External"/><Relationship Id="rId102" Type="http://schemas.openxmlformats.org/officeDocument/2006/relationships/hyperlink" Target="https://www.zotero.org/google-docs/?2QjwsD" TargetMode="External"/><Relationship Id="rId223" Type="http://schemas.openxmlformats.org/officeDocument/2006/relationships/hyperlink" Target="https://www.zotero.org/google-docs/?2QjwsD" TargetMode="External"/><Relationship Id="rId101" Type="http://schemas.openxmlformats.org/officeDocument/2006/relationships/hyperlink" Target="https://www.zotero.org/google-docs/?2QjwsD" TargetMode="External"/><Relationship Id="rId222" Type="http://schemas.openxmlformats.org/officeDocument/2006/relationships/hyperlink" Target="https://www.zotero.org/google-docs/?2QjwsD" TargetMode="External"/><Relationship Id="rId100" Type="http://schemas.openxmlformats.org/officeDocument/2006/relationships/hyperlink" Target="https://www.zotero.org/google-docs/?2QjwsD" TargetMode="External"/><Relationship Id="rId221" Type="http://schemas.openxmlformats.org/officeDocument/2006/relationships/hyperlink" Target="https://www.zotero.org/google-docs/?2QjwsD" TargetMode="External"/><Relationship Id="rId217" Type="http://schemas.openxmlformats.org/officeDocument/2006/relationships/hyperlink" Target="https://www.zotero.org/google-docs/?2QjwsD" TargetMode="External"/><Relationship Id="rId216" Type="http://schemas.openxmlformats.org/officeDocument/2006/relationships/hyperlink" Target="https://www.zotero.org/google-docs/?2QjwsD" TargetMode="External"/><Relationship Id="rId215" Type="http://schemas.openxmlformats.org/officeDocument/2006/relationships/hyperlink" Target="https://www.zotero.org/google-docs/?2QjwsD" TargetMode="External"/><Relationship Id="rId214" Type="http://schemas.openxmlformats.org/officeDocument/2006/relationships/hyperlink" Target="https://www.zotero.org/google-docs/?2QjwsD" TargetMode="External"/><Relationship Id="rId219" Type="http://schemas.openxmlformats.org/officeDocument/2006/relationships/hyperlink" Target="https://www.zotero.org/google-docs/?2QjwsD" TargetMode="External"/><Relationship Id="rId218" Type="http://schemas.openxmlformats.org/officeDocument/2006/relationships/hyperlink" Target="https://www.zotero.org/google-docs/?2QjwsD" TargetMode="External"/><Relationship Id="rId213" Type="http://schemas.openxmlformats.org/officeDocument/2006/relationships/hyperlink" Target="https://www.zotero.org/google-docs/?2QjwsD" TargetMode="External"/><Relationship Id="rId212" Type="http://schemas.openxmlformats.org/officeDocument/2006/relationships/hyperlink" Target="https://www.zotero.org/google-docs/?2QjwsD" TargetMode="External"/><Relationship Id="rId211" Type="http://schemas.openxmlformats.org/officeDocument/2006/relationships/hyperlink" Target="https://www.zotero.org/google-docs/?2QjwsD" TargetMode="External"/><Relationship Id="rId210" Type="http://schemas.openxmlformats.org/officeDocument/2006/relationships/hyperlink" Target="https://www.zotero.org/google-docs/?2QjwsD" TargetMode="External"/><Relationship Id="rId129" Type="http://schemas.openxmlformats.org/officeDocument/2006/relationships/hyperlink" Target="https://www.zotero.org/google-docs/?2QjwsD" TargetMode="External"/><Relationship Id="rId128" Type="http://schemas.openxmlformats.org/officeDocument/2006/relationships/hyperlink" Target="https://www.zotero.org/google-docs/?2QjwsD" TargetMode="External"/><Relationship Id="rId127" Type="http://schemas.openxmlformats.org/officeDocument/2006/relationships/hyperlink" Target="https://www.zotero.org/google-docs/?2QjwsD" TargetMode="External"/><Relationship Id="rId126" Type="http://schemas.openxmlformats.org/officeDocument/2006/relationships/hyperlink" Target="https://www.zotero.org/google-docs/?2QjwsD" TargetMode="External"/><Relationship Id="rId121" Type="http://schemas.openxmlformats.org/officeDocument/2006/relationships/hyperlink" Target="https://www.zotero.org/google-docs/?2QjwsD" TargetMode="External"/><Relationship Id="rId120" Type="http://schemas.openxmlformats.org/officeDocument/2006/relationships/hyperlink" Target="https://www.zotero.org/google-docs/?2QjwsD" TargetMode="External"/><Relationship Id="rId125" Type="http://schemas.openxmlformats.org/officeDocument/2006/relationships/hyperlink" Target="https://www.zotero.org/google-docs/?2QjwsD" TargetMode="External"/><Relationship Id="rId124" Type="http://schemas.openxmlformats.org/officeDocument/2006/relationships/hyperlink" Target="https://www.zotero.org/google-docs/?2QjwsD" TargetMode="External"/><Relationship Id="rId123" Type="http://schemas.openxmlformats.org/officeDocument/2006/relationships/hyperlink" Target="https://www.zotero.org/google-docs/?2QjwsD" TargetMode="External"/><Relationship Id="rId122" Type="http://schemas.openxmlformats.org/officeDocument/2006/relationships/hyperlink" Target="https://www.zotero.org/google-docs/?2QjwsD" TargetMode="External"/><Relationship Id="rId95" Type="http://schemas.openxmlformats.org/officeDocument/2006/relationships/hyperlink" Target="https://www.zotero.org/google-docs/?2QjwsD" TargetMode="External"/><Relationship Id="rId94" Type="http://schemas.openxmlformats.org/officeDocument/2006/relationships/hyperlink" Target="https://www.zotero.org/google-docs/?2QjwsD" TargetMode="External"/><Relationship Id="rId97" Type="http://schemas.openxmlformats.org/officeDocument/2006/relationships/hyperlink" Target="https://www.zotero.org/google-docs/?2QjwsD" TargetMode="External"/><Relationship Id="rId96" Type="http://schemas.openxmlformats.org/officeDocument/2006/relationships/hyperlink" Target="https://www.zotero.org/google-docs/?2QjwsD" TargetMode="External"/><Relationship Id="rId99" Type="http://schemas.openxmlformats.org/officeDocument/2006/relationships/hyperlink" Target="https://www.zotero.org/google-docs/?2QjwsD" TargetMode="External"/><Relationship Id="rId98" Type="http://schemas.openxmlformats.org/officeDocument/2006/relationships/hyperlink" Target="https://www.zotero.org/google-docs/?2QjwsD" TargetMode="External"/><Relationship Id="rId91" Type="http://schemas.openxmlformats.org/officeDocument/2006/relationships/hyperlink" Target="https://www.zotero.org/google-docs/?2QjwsD" TargetMode="External"/><Relationship Id="rId90" Type="http://schemas.openxmlformats.org/officeDocument/2006/relationships/hyperlink" Target="https://www.zotero.org/google-docs/?2QjwsD" TargetMode="External"/><Relationship Id="rId93" Type="http://schemas.openxmlformats.org/officeDocument/2006/relationships/hyperlink" Target="https://www.zotero.org/google-docs/?2QjwsD" TargetMode="External"/><Relationship Id="rId92" Type="http://schemas.openxmlformats.org/officeDocument/2006/relationships/hyperlink" Target="https://www.zotero.org/google-docs/?2QjwsD" TargetMode="External"/><Relationship Id="rId118" Type="http://schemas.openxmlformats.org/officeDocument/2006/relationships/hyperlink" Target="https://www.zotero.org/google-docs/?2QjwsD" TargetMode="External"/><Relationship Id="rId117" Type="http://schemas.openxmlformats.org/officeDocument/2006/relationships/hyperlink" Target="https://www.zotero.org/google-docs/?2QjwsD" TargetMode="External"/><Relationship Id="rId116" Type="http://schemas.openxmlformats.org/officeDocument/2006/relationships/hyperlink" Target="https://www.zotero.org/google-docs/?2QjwsD" TargetMode="External"/><Relationship Id="rId115" Type="http://schemas.openxmlformats.org/officeDocument/2006/relationships/hyperlink" Target="https://www.zotero.org/google-docs/?2QjwsD" TargetMode="External"/><Relationship Id="rId119" Type="http://schemas.openxmlformats.org/officeDocument/2006/relationships/hyperlink" Target="https://www.zotero.org/google-docs/?2QjwsD" TargetMode="External"/><Relationship Id="rId110" Type="http://schemas.openxmlformats.org/officeDocument/2006/relationships/hyperlink" Target="https://www.zotero.org/google-docs/?2QjwsD" TargetMode="External"/><Relationship Id="rId114" Type="http://schemas.openxmlformats.org/officeDocument/2006/relationships/hyperlink" Target="https://www.zotero.org/google-docs/?2QjwsD" TargetMode="External"/><Relationship Id="rId113" Type="http://schemas.openxmlformats.org/officeDocument/2006/relationships/hyperlink" Target="https://www.zotero.org/google-docs/?2QjwsD" TargetMode="External"/><Relationship Id="rId112" Type="http://schemas.openxmlformats.org/officeDocument/2006/relationships/hyperlink" Target="https://www.zotero.org/google-docs/?2QjwsD" TargetMode="External"/><Relationship Id="rId111" Type="http://schemas.openxmlformats.org/officeDocument/2006/relationships/hyperlink" Target="https://www.zotero.org/google-docs/?2QjwsD" TargetMode="External"/><Relationship Id="rId206" Type="http://schemas.openxmlformats.org/officeDocument/2006/relationships/hyperlink" Target="https://www.zotero.org/google-docs/?2QjwsD" TargetMode="External"/><Relationship Id="rId205" Type="http://schemas.openxmlformats.org/officeDocument/2006/relationships/hyperlink" Target="https://www.zotero.org/google-docs/?2QjwsD" TargetMode="External"/><Relationship Id="rId204" Type="http://schemas.openxmlformats.org/officeDocument/2006/relationships/hyperlink" Target="https://www.zotero.org/google-docs/?2QjwsD" TargetMode="External"/><Relationship Id="rId203" Type="http://schemas.openxmlformats.org/officeDocument/2006/relationships/hyperlink" Target="https://www.zotero.org/google-docs/?2QjwsD" TargetMode="External"/><Relationship Id="rId209" Type="http://schemas.openxmlformats.org/officeDocument/2006/relationships/hyperlink" Target="https://www.zotero.org/google-docs/?2QjwsD" TargetMode="External"/><Relationship Id="rId208" Type="http://schemas.openxmlformats.org/officeDocument/2006/relationships/hyperlink" Target="https://www.zotero.org/google-docs/?2QjwsD" TargetMode="External"/><Relationship Id="rId207" Type="http://schemas.openxmlformats.org/officeDocument/2006/relationships/hyperlink" Target="https://www.zotero.org/google-docs/?2QjwsD" TargetMode="External"/><Relationship Id="rId202" Type="http://schemas.openxmlformats.org/officeDocument/2006/relationships/hyperlink" Target="https://www.zotero.org/google-docs/?2QjwsD" TargetMode="External"/><Relationship Id="rId201" Type="http://schemas.openxmlformats.org/officeDocument/2006/relationships/hyperlink" Target="https://www.zotero.org/google-docs/?2QjwsD" TargetMode="External"/><Relationship Id="rId200" Type="http://schemas.openxmlformats.org/officeDocument/2006/relationships/hyperlink" Target="https://www.zotero.org/google-docs/?2Qjw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