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 and Disaster Recovery</w:t>
      </w:r>
    </w:p>
    <w:p>
      <w:pPr>
        <w:spacing w:after="120"/>
      </w:pPr>
      <w:r>
        <w:rPr>
          <w:i/>
          <w:color w:val="65717D"/>
          <w:sz w:val="16"/>
        </w:rPr>
        <w:t>Synthetic educational example | Not clinical, legal, or operational guidance</w:t>
      </w:r>
    </w:p>
    <w:p>
      <w:r/>
      <w:r>
        <w:rPr>
          <w:b/>
        </w:rPr>
        <w:t>Document ID:</w:t>
      </w:r>
      <w:r>
        <w:t xml:space="preserve"> DEMO-EP-002  </w:t>
      </w:r>
    </w:p>
    <w:p>
      <w:r/>
      <w:r>
        <w:rPr>
          <w:b/>
        </w:rPr>
        <w:t>Status:</w:t>
      </w:r>
      <w:r>
        <w:t xml:space="preserve"> Synthetic training example  </w:t>
      </w:r>
    </w:p>
    <w:p>
      <w:r/>
      <w:r>
        <w:rPr>
          <w:b/>
        </w:rPr>
        <w:t>Review interval:</w:t>
      </w:r>
      <w:r>
        <w:t xml:space="preserve"> 12 months</w:t>
      </w:r>
    </w:p>
    <w:p>
      <w:pPr>
        <w:pStyle w:val="Heading2"/>
      </w:pPr>
      <w:r>
        <w:t>Purpose</w:t>
      </w:r>
    </w:p>
    <w:p>
      <w:r>
        <w:t>This fictional administrative policy describes ownership of backup and recovery planning. It does not specify real recovery times, clinical continuity instructions, or technical configuration.</w:t>
      </w:r>
    </w:p>
    <w:p>
      <w:pPr>
        <w:pStyle w:val="Heading2"/>
      </w:pPr>
      <w:r>
        <w:t>Backup ownership</w:t>
      </w:r>
    </w:p>
    <w:p>
      <w:r>
        <w:t>System owners maintain an inventory of critical services and their approved backup responsibilities. Backup jobs and access to backup media are monitored through the facility's documented information-security process.</w:t>
      </w:r>
    </w:p>
    <w:p>
      <w:pPr>
        <w:pStyle w:val="Heading2"/>
      </w:pPr>
      <w:r>
        <w:t>Recovery planning</w:t>
      </w:r>
    </w:p>
    <w:p>
      <w:r>
        <w:t>The continuity owner records dependencies, escalation contacts, recovery priorities, and exercise outcomes in an approved plan. Recovery tests use a controlled environment and do not expose real patient information.</w:t>
      </w:r>
    </w:p>
    <w:p>
      <w:pPr>
        <w:pStyle w:val="Heading2"/>
      </w:pPr>
      <w:r>
        <w:t>Incident coordination</w:t>
      </w:r>
    </w:p>
    <w:p>
      <w:r>
        <w:t>During a disruption, the continuity owner coordinates with the Emergency Code and Incident Communication policy. Visitor-facing instructions are coordinated with Visitor Access and Conduct. These references form a deliberate cycle for the dependency-graph demonstration.</w:t>
      </w:r>
    </w:p>
    <w:p>
      <w:pPr>
        <w:pStyle w:val="Heading2"/>
      </w:pPr>
      <w:r>
        <w:t>Access</w:t>
      </w:r>
    </w:p>
    <w:p>
      <w:r>
        <w:t>This seeded policy is restricted to Admin to demonstrate SQL permission filtering. Its example dependency links do not grant access to referenced policies.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DocuGuard synthetic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0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44B6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Disaster Recovery</dc:title>
  <dc:subject>Synthetic DBMS course demonstration policy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