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Biomedical Waste Segregation</w:t>
      </w:r>
    </w:p>
    <w:p>
      <w:pPr>
        <w:spacing w:after="120"/>
      </w:pPr>
      <w:r>
        <w:rPr>
          <w:i/>
          <w:color w:val="65717D"/>
          <w:sz w:val="16"/>
        </w:rPr>
        <w:t>Synthetic educational example | Not clinical, legal, or operational guidance</w:t>
      </w:r>
    </w:p>
    <w:p>
      <w:r/>
      <w:r>
        <w:rPr>
          <w:b/>
        </w:rPr>
        <w:t>Document ID:</w:t>
      </w:r>
      <w:r>
        <w:t xml:space="preserve"> DEMO-WM-001  </w:t>
      </w:r>
    </w:p>
    <w:p>
      <w:r/>
      <w:r>
        <w:rPr>
          <w:b/>
        </w:rPr>
        <w:t>Status:</w:t>
      </w:r>
      <w:r>
        <w:t xml:space="preserve"> Synthetic training example  </w:t>
      </w:r>
    </w:p>
    <w:p>
      <w:r/>
      <w:r>
        <w:rPr>
          <w:b/>
        </w:rPr>
        <w:t>Review interval:</w:t>
      </w:r>
      <w:r>
        <w:t xml:space="preserve"> 12 months</w:t>
      </w:r>
    </w:p>
    <w:p>
      <w:pPr>
        <w:pStyle w:val="Heading2"/>
      </w:pPr>
      <w:r>
        <w:t>Purpose</w:t>
      </w:r>
    </w:p>
    <w:p>
      <w:r>
        <w:t>This fictional policy explains how a facility assigns responsibility for waste handling. It is an educational example; use the locally approved waste-management procedure and applicable guidance.</w:t>
      </w:r>
    </w:p>
    <w:p>
      <w:pPr>
        <w:pStyle w:val="Heading2"/>
      </w:pPr>
      <w:r>
        <w:t>Segregation at the point of use</w:t>
      </w:r>
    </w:p>
    <w:p>
      <w:r>
        <w:t>Staff place waste into the locally designated, labeled container at the point where it is generated. Do not sort waste by hand after disposal. Follow container limits and closure instructions, and keep incompatible waste streams separate.</w:t>
      </w:r>
    </w:p>
    <w:p>
      <w:pPr>
        <w:pStyle w:val="Heading2"/>
      </w:pPr>
      <w:r>
        <w:t>Collection and storage</w:t>
      </w:r>
    </w:p>
    <w:p>
      <w:r>
        <w:t>Only trained, authorized personnel collect and move sealed containers along approved routes. Report leaks, damaged packaging, missing labels, or overflowing containers promptly. The designated team maintains collection and handoff records.</w:t>
      </w:r>
    </w:p>
    <w:p>
      <w:pPr>
        <w:pStyle w:val="Heading2"/>
      </w:pPr>
      <w:r>
        <w:t>Training and acknowledgment</w:t>
      </w:r>
    </w:p>
    <w:p>
      <w:r>
        <w:t>Departments ensure that assigned personnel know the current local procedure and acknowledge the active policy version in DocuGuard.</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DocuGuard synthetic policy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ptos" w:hAnsi="Aptos"/>
      <w:color w:val="202A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ptos" w:hAnsi="Aptos"/>
      <w:b/>
      <w:bCs/>
      <w:color w:val="244B64"/>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ascii="Aptos Display" w:hAnsi="Aptos Display"/>
      <w:b/>
      <w:color w:val="18324A"/>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Biomedical Waste Segregation</dc:title>
  <dc:subject>Synthetic DBMS course demonstration policy</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