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Emergency Code and Incident Communication</w:t>
      </w:r>
    </w:p>
    <w:p>
      <w:pPr>
        <w:spacing w:after="120"/>
      </w:pPr>
      <w:r>
        <w:rPr>
          <w:i/>
          <w:color w:val="65717D"/>
          <w:sz w:val="16"/>
        </w:rPr>
        <w:t>Synthetic educational example | Not clinical, legal, or operational guidance</w:t>
      </w:r>
    </w:p>
    <w:p>
      <w:r/>
      <w:r>
        <w:rPr>
          <w:b/>
        </w:rPr>
        <w:t>Document ID:</w:t>
      </w:r>
      <w:r>
        <w:t xml:space="preserve"> DEMO-EP-001  </w:t>
      </w:r>
    </w:p>
    <w:p>
      <w:r/>
      <w:r>
        <w:rPr>
          <w:b/>
        </w:rPr>
        <w:t>Status:</w:t>
      </w:r>
      <w:r>
        <w:t xml:space="preserve"> Synthetic training example  </w:t>
      </w:r>
    </w:p>
    <w:p>
      <w:r/>
      <w:r>
        <w:rPr>
          <w:b/>
        </w:rPr>
        <w:t>Review interval:</w:t>
      </w:r>
      <w:r>
        <w:t xml:space="preserve"> 12 months</w:t>
      </w:r>
    </w:p>
    <w:p>
      <w:pPr>
        <w:pStyle w:val="Heading2"/>
      </w:pPr>
      <w:r>
        <w:t>Purpose</w:t>
      </w:r>
    </w:p>
    <w:p>
      <w:r>
        <w:t>This fictional policy describes a communication framework for facility incidents. It does not define clinical response steps or replace local emergency plans.</w:t>
      </w:r>
    </w:p>
    <w:p>
      <w:pPr>
        <w:pStyle w:val="Heading2"/>
      </w:pPr>
      <w:r>
        <w:t>Activation and notification</w:t>
      </w:r>
    </w:p>
    <w:p>
      <w:r>
        <w:t>Use the facility's approved channel and terminology to notify the designated response team. Share the location, type of incident, and known safety concerns without speculation. If the primary communication system is unavailable, use the documented backup channel.</w:t>
      </w:r>
    </w:p>
    <w:p>
      <w:pPr>
        <w:pStyle w:val="Heading2"/>
      </w:pPr>
      <w:r>
        <w:t>Coordination</w:t>
      </w:r>
    </w:p>
    <w:p>
      <w:r>
        <w:t>The incident lead records key decisions, assigns a communications contact, and coordinates with affected departments. Staff follow their role-specific instructions and avoid unverified announcements.</w:t>
      </w:r>
    </w:p>
    <w:p>
      <w:pPr>
        <w:pStyle w:val="Heading2"/>
      </w:pPr>
      <w:r>
        <w:t>Visitors and continuity</w:t>
      </w:r>
    </w:p>
    <w:p>
      <w:r>
        <w:t>The responsible team coordinates visitor instructions with the Visitor Access and Conduct policy. Technology or service interruptions are coordinated with the Backup and Disaster Recovery policy.</w:t>
      </w:r>
    </w:p>
    <w:p>
      <w:pPr>
        <w:pStyle w:val="Heading2"/>
      </w:pPr>
      <w:r>
        <w:t>Review</w:t>
      </w:r>
    </w:p>
    <w:p>
      <w:r>
        <w:t>The safety team reviews exercises and incidents, records follow-up actions, and updates the approved plan through document control.</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DocuGuard synthetic policy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color w:val="202A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244B64"/>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18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Code and Incident Communication</dc:title>
  <dc:subject>Synthetic DBMS course demonstration policy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