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 Hygiene for Clinical Staff</w:t>
      </w:r>
    </w:p>
    <w:p>
      <w:pPr>
        <w:spacing w:after="120"/>
      </w:pPr>
      <w:r>
        <w:rPr>
          <w:i/>
          <w:color w:val="65717D"/>
          <w:sz w:val="16"/>
        </w:rPr>
        <w:t>Synthetic educational example | Not clinical, legal, or operational guidance</w:t>
      </w:r>
    </w:p>
    <w:p>
      <w:r/>
      <w:r>
        <w:rPr>
          <w:b/>
        </w:rPr>
        <w:t>Document ID:</w:t>
      </w:r>
      <w:r>
        <w:t xml:space="preserve"> DEMO-IC-002  </w:t>
      </w:r>
    </w:p>
    <w:p>
      <w:r/>
      <w:r>
        <w:rPr>
          <w:b/>
        </w:rPr>
        <w:t>Status:</w:t>
      </w:r>
      <w:r>
        <w:t xml:space="preserve"> Synthetic training example  </w:t>
      </w:r>
    </w:p>
    <w:p>
      <w:r/>
      <w:r>
        <w:rPr>
          <w:b/>
        </w:rPr>
        <w:t>Review interval:</w:t>
      </w:r>
      <w:r>
        <w:t xml:space="preserve"> 12 months</w:t>
      </w:r>
    </w:p>
    <w:p>
      <w:pPr>
        <w:pStyle w:val="Heading2"/>
      </w:pPr>
      <w:r>
        <w:t>Purpose</w:t>
      </w:r>
    </w:p>
    <w:p>
      <w:r>
        <w:t>This fictional policy describes a hand-hygiene reminder for clinical staff. It is a teaching example, not a clinical protocol. Follow the facility's approved infection-prevention guidance.</w:t>
      </w:r>
    </w:p>
    <w:p>
      <w:pPr>
        <w:pStyle w:val="Heading2"/>
      </w:pPr>
      <w:r>
        <w:t>When to clean hands</w:t>
      </w:r>
    </w:p>
    <w:p>
      <w:r>
        <w:t>Clean hands at the locally defined points before and after patient contact, before a clean task, after exposure risk, and after contact with the patient's surroundings. Use the hand-cleaning method approved for the situation and the facility.</w:t>
      </w:r>
    </w:p>
    <w:p>
      <w:pPr>
        <w:pStyle w:val="Heading2"/>
      </w:pPr>
      <w:r>
        <w:t>Safe workflow</w:t>
      </w:r>
    </w:p>
    <w:p>
      <w:r>
        <w:t>Keep hand-cleaning supplies available, follow product instructions, and report empty dispensers or equipment problems. Gloves do not replace hand hygiene. If hands are visibly soiled or a specific exposure requires a different method, follow the approved local procedure.</w:t>
      </w:r>
    </w:p>
    <w:p>
      <w:pPr>
        <w:pStyle w:val="Heading2"/>
      </w:pPr>
      <w:r>
        <w:t>Training and acknowledgment</w:t>
      </w:r>
    </w:p>
    <w:p>
      <w:r>
        <w:t>Assigned staff read the currently approved version and acknowledge that version in DocuGuard. Acknowledgment does not replace practical instruction or competency assessment.</w:t>
      </w:r>
    </w:p>
    <w:p>
      <w:pPr>
        <w:pStyle w:val="Heading2"/>
      </w:pPr>
      <w:r>
        <w:t>Search terms</w:t>
      </w:r>
    </w:p>
    <w:p>
      <w:r>
        <w:t>hand hygiene, hand cleaning, infection prevention, clinical staff, gloves, training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DocuGuard synthetic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202A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44B64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 Hygiene for Clinical Staff</dc:title>
  <dc:subject>Synthetic DBMS course demonstration policy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