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Safety and Independent Checks</w:t>
      </w:r>
    </w:p>
    <w:p>
      <w:pPr>
        <w:spacing w:after="120"/>
      </w:pPr>
      <w:r>
        <w:rPr>
          <w:i/>
          <w:color w:val="65717D"/>
          <w:sz w:val="16"/>
        </w:rPr>
        <w:t>Synthetic educational example | Not clinical, legal, or operational guidance</w:t>
      </w:r>
    </w:p>
    <w:p>
      <w:r/>
      <w:r>
        <w:rPr>
          <w:b/>
        </w:rPr>
        <w:t>Document ID:</w:t>
      </w:r>
      <w:r>
        <w:t xml:space="preserve"> DEMO-MED-001  </w:t>
      </w:r>
    </w:p>
    <w:p>
      <w:r/>
      <w:r>
        <w:rPr>
          <w:b/>
        </w:rPr>
        <w:t>Status:</w:t>
      </w:r>
      <w:r>
        <w:t xml:space="preserve"> Synthetic training example  </w:t>
      </w:r>
    </w:p>
    <w:p>
      <w:r/>
      <w:r>
        <w:rPr>
          <w:b/>
        </w:rPr>
        <w:t>Review interval:</w:t>
      </w:r>
      <w:r>
        <w:t xml:space="preserve"> 12 months</w:t>
      </w:r>
    </w:p>
    <w:p>
      <w:pPr>
        <w:pStyle w:val="Heading2"/>
      </w:pPr>
      <w:r>
        <w:t>Purpose</w:t>
      </w:r>
    </w:p>
    <w:p>
      <w:r>
        <w:t>This fictional policy describes administrative safeguards for a facility's approved medication workflow. It does not give clinical or dosing advice.</w:t>
      </w:r>
    </w:p>
    <w:p>
      <w:pPr>
        <w:pStyle w:val="Heading2"/>
      </w:pPr>
      <w:r>
        <w:t>Preparation and verification</w:t>
      </w:r>
    </w:p>
    <w:p>
      <w:r>
        <w:t>Use only the facility-approved system and current authorized order. Confirm the relevant patient and medication details using the local procedure. Independent checks are required only where the approved protocol specifies them; they must be performed by a qualified second person rather than documented as a proxy.</w:t>
      </w:r>
    </w:p>
    <w:p>
      <w:pPr>
        <w:pStyle w:val="Heading2"/>
      </w:pPr>
      <w:r>
        <w:t>Storage and access</w:t>
      </w:r>
    </w:p>
    <w:p>
      <w:r>
        <w:t>Store medications in approved locations with access limited to authorized personnel. Follow local temperature, security, labeling, and inventory controls. Report damaged, expired, missing, or mismatched items through the designated process.</w:t>
      </w:r>
    </w:p>
    <w:p>
      <w:pPr>
        <w:pStyle w:val="Heading2"/>
      </w:pPr>
      <w:r>
        <w:t>Incident reporting</w:t>
      </w:r>
    </w:p>
    <w:p>
      <w:r>
        <w:t>Pause and escalate an uncertain or discrepant order through the approved clinical chain. Report errors and near misses promptly so the safety team can review contributing system factors.</w:t>
      </w:r>
    </w:p>
    <w:p>
      <w:pPr>
        <w:pStyle w:val="Heading2"/>
      </w:pPr>
      <w:r>
        <w:t>Training and acknowledgment</w:t>
      </w:r>
    </w:p>
    <w:p>
      <w:r>
        <w:t>Assigned personnel read the current approved version and acknowledge that version. This policy does not replace training or clinical judgment.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DocuGuard synthetic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4B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Medication Safety and Independent Checks</dc:title>
  <dc:subject>Synthetic DBMS course demonstration policy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