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Patient Information Privacy and Minimum Necessary Access</w:t>
      </w:r>
    </w:p>
    <w:p>
      <w:pPr>
        <w:spacing w:after="120"/>
      </w:pPr>
      <w:r>
        <w:rPr>
          <w:i/>
          <w:color w:val="65717D"/>
          <w:sz w:val="16"/>
        </w:rPr>
        <w:t>Synthetic educational example | Not clinical, legal, or operational guidance</w:t>
      </w:r>
    </w:p>
    <w:p>
      <w:r/>
      <w:r>
        <w:rPr>
          <w:b/>
        </w:rPr>
        <w:t>Document ID:</w:t>
      </w:r>
      <w:r>
        <w:t xml:space="preserve"> DEMO-PRIV-001</w:t>
      </w:r>
    </w:p>
    <w:p>
      <w:r/>
      <w:r>
        <w:rPr>
          <w:b/>
        </w:rPr>
        <w:t>Owner:</w:t>
      </w:r>
      <w:r>
        <w:t xml:space="preserve"> Privacy and Information Governance Team</w:t>
      </w:r>
    </w:p>
    <w:p>
      <w:r/>
      <w:r>
        <w:rPr>
          <w:b/>
        </w:rPr>
        <w:t>Status:</w:t>
      </w:r>
      <w:r>
        <w:t xml:space="preserve"> Synthetic training example</w:t>
      </w:r>
    </w:p>
    <w:p>
      <w:r/>
      <w:r>
        <w:rPr>
          <w:b/>
        </w:rPr>
        <w:t>Review interval:</w:t>
      </w:r>
      <w:r>
        <w:t xml:space="preserve"> 12 months</w:t>
      </w:r>
    </w:p>
    <w:p>
      <w:pPr>
        <w:pStyle w:val="Heading2"/>
      </w:pPr>
      <w:r>
        <w:t>Purpose</w:t>
      </w:r>
    </w:p>
    <w:p>
      <w:r>
        <w:t>This fictional example describes safeguards for handling patient information. It is not legal advice and does not claim to implement HIPAA, India's DPDP Act, or any other regulation in full.</w:t>
      </w:r>
    </w:p>
    <w:p>
      <w:pPr>
        <w:pStyle w:val="Heading2"/>
      </w:pPr>
      <w:r>
        <w:t>Authorized use</w:t>
      </w:r>
    </w:p>
    <w:p>
      <w:r>
        <w:t>Personnel should access patient information only for an authorized work purpose and only to the extent needed for that purpose. Credentials must not be shared. Staff should use approved systems, verify recipients before disclosure, and avoid placing identifiable information in public or unapproved communication channels.</w:t>
      </w:r>
    </w:p>
    <w:p>
      <w:pPr>
        <w:pStyle w:val="Heading2"/>
      </w:pPr>
      <w:r>
        <w:t>Storage and disclosure</w:t>
      </w:r>
    </w:p>
    <w:p>
      <w:r>
        <w:t>Information should be stored in approved locations with access controls. Disclosures must follow the facility's authorization and verification process. Suspected misdirection, unauthorized access, loss, or disclosure should be reported promptly through the designated privacy incident channel. Do not attempt to conceal or independently erase evidence of an incident.</w:t>
      </w:r>
    </w:p>
    <w:p>
      <w:pPr>
        <w:pStyle w:val="Heading2"/>
      </w:pPr>
      <w:r>
        <w:t>Access review</w:t>
      </w:r>
    </w:p>
    <w:p>
      <w:r>
        <w:t>Managers and system owners should review access when job responsibilities change and remove access that is no longer required. DocuGuard access records are intended to support accountability and investigation; they do not by themselves prove that every use of information was lawful.</w:t>
      </w:r>
    </w:p>
    <w:p>
      <w:pPr>
        <w:pStyle w:val="Heading2"/>
      </w:pPr>
      <w:r>
        <w:t>Training and acknowledgment</w:t>
      </w:r>
    </w:p>
    <w:p>
      <w:r>
        <w:t>Assigned personnel must read the current approved version and acknowledge it in DocuGuard. New versions create a new acknowledgment requirement for the version assigned by the system.</w:t>
      </w:r>
    </w:p>
    <w:p>
      <w:pPr>
        <w:pStyle w:val="Heading2"/>
      </w:pPr>
      <w:r>
        <w:t>Search terms</w:t>
      </w:r>
    </w:p>
    <w:p>
      <w:r>
        <w:t>patient privacy, personal data, minimum necessary, authorized access, disclosure, access review, privacy incident</w:t>
      </w:r>
    </w:p>
    <w:sectPr w:rsidR="00FC693F" w:rsidRPr="0006063C" w:rsidSect="00034616">
      <w:footerReference w:type="default" r:id="rId9"/>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4"/>
      </w:rPr>
      <w:t>DocuGuard synthetic policy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pPr>
    <w:rPr>
      <w:rFonts w:ascii="Aptos" w:hAnsi="Aptos"/>
      <w:color w:val="202A33"/>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100" w:after="40"/>
      <w:outlineLvl w:val="1"/>
    </w:pPr>
    <w:rPr>
      <w:rFonts w:asciiTheme="majorHAnsi" w:eastAsiaTheme="majorEastAsia" w:hAnsiTheme="majorHAnsi" w:cstheme="majorBidi" w:ascii="Aptos" w:hAnsi="Aptos"/>
      <w:b/>
      <w:bCs/>
      <w:color w:val="244B64"/>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contextualSpacing/>
    </w:pPr>
    <w:rPr>
      <w:rFonts w:asciiTheme="majorHAnsi" w:eastAsiaTheme="majorEastAsia" w:hAnsiTheme="majorHAnsi" w:cstheme="majorBidi" w:ascii="Aptos Display" w:hAnsi="Aptos Display"/>
      <w:b/>
      <w:color w:val="18324A"/>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Patient Information Privacy and Minimum Necessary Access</dc:title>
  <dc:subject>Synthetic DBMS course demonstration policy</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