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Records Retention Schedule Ten Year Example</w:t>
      </w:r>
    </w:p>
    <w:p>
      <w:pPr>
        <w:spacing w:after="120"/>
      </w:pPr>
      <w:r>
        <w:rPr>
          <w:i/>
          <w:color w:val="65717D"/>
          <w:sz w:val="16"/>
        </w:rPr>
        <w:t>Synthetic educational example | Not clinical, legal, or operational guidance</w:t>
      </w:r>
    </w:p>
    <w:p>
      <w:r/>
      <w:r>
        <w:rPr>
          <w:b/>
        </w:rPr>
        <w:t>Document ID:</w:t>
      </w:r>
      <w:r>
        <w:t xml:space="preserve"> DEMO-REC-002  </w:t>
      </w:r>
    </w:p>
    <w:p>
      <w:r/>
      <w:r>
        <w:rPr>
          <w:b/>
        </w:rPr>
        <w:t>Status:</w:t>
      </w:r>
      <w:r>
        <w:t xml:space="preserve"> Synthetic comparison example  </w:t>
      </w:r>
    </w:p>
    <w:p>
      <w:r/>
      <w:r>
        <w:rPr>
          <w:b/>
        </w:rPr>
        <w:t>Review interval:</w:t>
      </w:r>
      <w:r>
        <w:t xml:space="preserve"> Illustrative only</w:t>
      </w:r>
    </w:p>
    <w:p>
      <w:pPr>
        <w:pStyle w:val="Heading2"/>
      </w:pPr>
      <w:r>
        <w:t>Purpose</w:t>
      </w:r>
    </w:p>
    <w:p>
      <w:r>
        <w:t>This fictional schedule deliberately conflicts with the seven-year example to demonstrate version-aware search and compliance analysis. The ten-year period is invented for this database course and is not legal or operational guidance.</w:t>
      </w:r>
    </w:p>
    <w:p>
      <w:pPr>
        <w:pStyle w:val="Heading2"/>
      </w:pPr>
      <w:r>
        <w:t>Illustrative retention statement</w:t>
      </w:r>
    </w:p>
    <w:p>
      <w:r>
        <w:t>This example says that selected administrative record classes are retained for ten years after the locally defined closure event, then reviewed for secure disposition. This synthetic value conflicts with the separate seven-year example and must not be treated as an approved requirement.</w:t>
      </w:r>
    </w:p>
    <w:p>
      <w:pPr>
        <w:pStyle w:val="Heading2"/>
      </w:pPr>
      <w:r>
        <w:t>Governance</w:t>
      </w:r>
    </w:p>
    <w:p>
      <w:r>
        <w:t>The Records Management owner identifies approved record classes, retention events, exceptions, and legal holds in a formally reviewed schedule. A hold pauses routine disposition until the authorized owner releases it.</w:t>
      </w:r>
    </w:p>
    <w:p>
      <w:pPr>
        <w:pStyle w:val="Heading2"/>
      </w:pPr>
      <w:r>
        <w:t>Status</w:t>
      </w:r>
    </w:p>
    <w:p>
      <w:r>
        <w:t>This seeded version expires soon so the dashboard can demonstrate an approaching review date. Consult only the approved current policy in a real setting.</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DocuGuard synthetic policy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color w:val="202A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w:hAnsi="Aptos"/>
      <w:b/>
      <w:bCs/>
      <w:color w:val="244B64"/>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b/>
      <w:color w:val="18324A"/>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Records Retention Schedule Ten Year Example</dc:title>
  <dc:subject>Synthetic DBMS course demonstration policy</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