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Precautions and Sharps Injury Response</w:t>
      </w:r>
    </w:p>
    <w:p>
      <w:pPr>
        <w:spacing w:after="120"/>
      </w:pPr>
      <w:r>
        <w:rPr>
          <w:i/>
          <w:color w:val="65717D"/>
          <w:sz w:val="16"/>
        </w:rPr>
        <w:t>Synthetic educational example | Not clinical, legal, or operational guidance</w:t>
      </w:r>
    </w:p>
    <w:p>
      <w:r/>
      <w:r>
        <w:rPr>
          <w:b/>
        </w:rPr>
        <w:t>Document ID:</w:t>
      </w:r>
      <w:r>
        <w:t xml:space="preserve"> DEMO-IC-001</w:t>
      </w:r>
    </w:p>
    <w:p>
      <w:r/>
      <w:r>
        <w:rPr>
          <w:b/>
        </w:rPr>
        <w:t>Owner:</w:t>
      </w:r>
      <w:r>
        <w:t xml:space="preserve"> Infection Prevention Team</w:t>
      </w:r>
    </w:p>
    <w:p>
      <w:r/>
      <w:r>
        <w:rPr>
          <w:b/>
        </w:rPr>
        <w:t>Status:</w:t>
      </w:r>
      <w:r>
        <w:t xml:space="preserve"> Synthetic training example</w:t>
      </w:r>
    </w:p>
    <w:p>
      <w:r/>
      <w:r>
        <w:rPr>
          <w:b/>
        </w:rPr>
        <w:t>Review interval:</w:t>
      </w:r>
      <w:r>
        <w:t xml:space="preserve"> 12 months</w:t>
      </w:r>
    </w:p>
    <w:p>
      <w:pPr>
        <w:pStyle w:val="Heading2"/>
      </w:pPr>
      <w:r>
        <w:t>Purpose</w:t>
      </w:r>
    </w:p>
    <w:p>
      <w:r>
        <w:t>This example policy describes a basic workflow for reducing avoidable exposure to blood and body fluids. It is fictional demonstration content, not a clinical protocol. A real facility must replace it with approved local procedures.</w:t>
      </w:r>
    </w:p>
    <w:p>
      <w:pPr>
        <w:pStyle w:val="Heading2"/>
      </w:pPr>
      <w:r>
        <w:t>Standard precautions</w:t>
      </w:r>
    </w:p>
    <w:p>
      <w:r>
        <w:t>Staff should perform hand hygiene at the required points of care, select personal protective equipment based on the anticipated exposure, and dispose of sharps immediately in approved puncture-resistant containers. Used needles must not be routinely recapped, bent, or separated by hand. Reusable equipment must follow the facility's validated cleaning and reprocessing procedure.</w:t>
      </w:r>
    </w:p>
    <w:p>
      <w:pPr>
        <w:pStyle w:val="Heading2"/>
      </w:pPr>
      <w:r>
        <w:t>Sharps injury response</w:t>
      </w:r>
    </w:p>
    <w:p>
      <w:r>
        <w:t>After a suspected sharps injury, stop the task safely, perform the locally approved first aid, and promptly contact the designated occupational-health or emergency pathway. Report the incident through the facility's incident reporting process. Clinical evaluation, testing, and any post-exposure intervention must be determined by qualified clinicians using current facility policy and applicable guidance.</w:t>
      </w:r>
    </w:p>
    <w:p>
      <w:pPr>
        <w:pStyle w:val="Heading2"/>
      </w:pPr>
      <w:r>
        <w:t>Training and acknowledgment</w:t>
      </w:r>
    </w:p>
    <w:p>
      <w:r>
        <w:t>Relevant clinical staff must read the currently approved version and record acknowledgment in DocuGuard. Acknowledgment confirms that the staff member has read the policy; it does not replace training, competency assessment, or clinical judgment.</w:t>
      </w:r>
    </w:p>
    <w:p>
      <w:pPr>
        <w:pStyle w:val="Heading2"/>
      </w:pPr>
      <w:r>
        <w:t>Review and ownership</w:t>
      </w:r>
    </w:p>
    <w:p>
      <w:r>
        <w:t>The Infection Prevention Team should review this policy after a significant incident, a relevant guideline change, or at the scheduled review date. The document owner must ensure that superseded copies are not used.</w:t>
      </w:r>
    </w:p>
    <w:p>
      <w:pPr>
        <w:pStyle w:val="Heading2"/>
      </w:pPr>
      <w:r>
        <w:t>Search terms</w:t>
      </w:r>
    </w:p>
    <w:p>
      <w:r>
        <w:t>standard precautions, sharps injury, hand hygiene, PPE, exposure, infection prevention, incident reporting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DocuGuard synthetic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0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44B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Precautions and Sharps Injury Response</dc:title>
  <dc:subject>Synthetic DBMS course demonstration policy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