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Visitor Access and Conduct</w:t>
      </w:r>
    </w:p>
    <w:p>
      <w:pPr>
        <w:spacing w:after="120"/>
      </w:pPr>
      <w:r>
        <w:rPr>
          <w:i/>
          <w:color w:val="65717D"/>
          <w:sz w:val="16"/>
        </w:rPr>
        <w:t>Synthetic educational example | Not clinical, legal, or operational guidance</w:t>
      </w:r>
    </w:p>
    <w:p>
      <w:r/>
      <w:r>
        <w:rPr>
          <w:b/>
        </w:rPr>
        <w:t>Document ID:</w:t>
      </w:r>
      <w:r>
        <w:t xml:space="preserve"> DEMO-ADM-001  </w:t>
      </w:r>
    </w:p>
    <w:p>
      <w:r/>
      <w:r>
        <w:rPr>
          <w:b/>
        </w:rPr>
        <w:t>Status:</w:t>
      </w:r>
      <w:r>
        <w:t xml:space="preserve"> Synthetic training example  </w:t>
      </w:r>
    </w:p>
    <w:p>
      <w:r/>
      <w:r>
        <w:rPr>
          <w:b/>
        </w:rPr>
        <w:t>Review interval:</w:t>
      </w:r>
      <w:r>
        <w:t xml:space="preserve"> 12 months</w:t>
      </w:r>
    </w:p>
    <w:p>
      <w:pPr>
        <w:pStyle w:val="Heading2"/>
      </w:pPr>
      <w:r>
        <w:t>Purpose</w:t>
      </w:r>
    </w:p>
    <w:p>
      <w:r>
        <w:t>This fictional policy sets administrative expectations for visitors in a healthcare facility. It is not a substitute for local safety, privacy, or infection-prevention instructions.</w:t>
      </w:r>
    </w:p>
    <w:p>
      <w:pPr>
        <w:pStyle w:val="Heading2"/>
      </w:pPr>
      <w:r>
        <w:t>Check-in and identification</w:t>
      </w:r>
    </w:p>
    <w:p>
      <w:r>
        <w:t>Visitors use the designated check-in point and follow staff instructions for identification, registration, and access areas. A visitor badge or escort is used where required by local procedure. Access may be limited during an incident or operational disruption.</w:t>
      </w:r>
    </w:p>
    <w:p>
      <w:pPr>
        <w:pStyle w:val="Heading2"/>
      </w:pPr>
      <w:r>
        <w:t>Privacy and conduct</w:t>
      </w:r>
    </w:p>
    <w:p>
      <w:r>
        <w:t>Visitors must respect posted restrictions and the privacy of patients and staff. Photography, recording, or access to records is allowed only through the facility's approved authorization process. Staff route privacy concerns to the designated contact.</w:t>
      </w:r>
    </w:p>
    <w:p>
      <w:pPr>
        <w:pStyle w:val="Heading2"/>
      </w:pPr>
      <w:r>
        <w:t>Emergency coordination</w:t>
      </w:r>
    </w:p>
    <w:p>
      <w:r>
        <w:t>During an incident, visitors follow instructions from the designated response team and use the communication plan described in the Emergency Code and Incident Communication policy. Business continuity arrangements are described in Backup and Disaster Recovery.</w:t>
      </w:r>
    </w:p>
    <w:p>
      <w:pPr>
        <w:pStyle w:val="Heading2"/>
      </w:pPr>
      <w:r>
        <w:t>Review</w:t>
      </w:r>
    </w:p>
    <w:p>
      <w:r>
        <w:t>Administration reviews this policy after a significant incident or scheduled review and removes outdated copies from circulation.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DocuGuard synthetic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0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244B6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8324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Visitor Access and Conduct</dc:title>
  <dc:subject>Synthetic DBMS course demonstration policy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