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DE5E" w14:textId="497816AC" w:rsidR="0067457F" w:rsidRPr="00213CC1" w:rsidRDefault="008D7185" w:rsidP="0067457F">
      <w:pPr>
        <w:rPr>
          <w:rFonts w:ascii="Arial" w:hAnsi="Arial" w:cs="Arial"/>
          <w:b/>
          <w:sz w:val="28"/>
          <w:szCs w:val="28"/>
          <w:lang w:eastAsia="zh-CN"/>
        </w:rPr>
      </w:pPr>
      <w:r w:rsidRPr="008D7185">
        <w:rPr>
          <w:rFonts w:ascii="Arial" w:hAnsi="Arial" w:cs="Arial"/>
          <w:b/>
          <w:sz w:val="28"/>
          <w:szCs w:val="28"/>
        </w:rPr>
        <w:t>Design of a 170 GHz Waveguide-Based ENOCH Notch Filter for Burning Plasma Diagnostics Protection</w:t>
      </w:r>
    </w:p>
    <w:p w14:paraId="67986AC0" w14:textId="7065FB6D" w:rsidR="0067457F" w:rsidRPr="00866357" w:rsidRDefault="008D7185" w:rsidP="0067457F">
      <w:pPr>
        <w:pStyle w:val="NormalWeb"/>
        <w:shd w:val="clear" w:color="auto" w:fill="FFFFFF"/>
        <w:ind w:left="720" w:right="684"/>
        <w:rPr>
          <w:rFonts w:ascii="Arial" w:hAnsi="Arial" w:cs="Arial"/>
          <w:sz w:val="20"/>
          <w:szCs w:val="20"/>
          <w:vertAlign w:val="superscript"/>
          <w:lang w:eastAsia="zh-CN"/>
        </w:rPr>
      </w:pPr>
      <w:r w:rsidRPr="008D7185">
        <w:rPr>
          <w:rFonts w:ascii="Arial" w:hAnsi="Arial" w:cs="Arial"/>
          <w:sz w:val="20"/>
          <w:szCs w:val="20"/>
        </w:rPr>
        <w:t>Baron Li</w:t>
      </w:r>
      <w:r w:rsidR="0067457F" w:rsidRPr="00C202EC">
        <w:rPr>
          <w:rFonts w:ascii="Arial" w:hAnsi="Arial" w:cs="Arial"/>
          <w:sz w:val="20"/>
          <w:szCs w:val="20"/>
        </w:rPr>
        <w:t>,</w:t>
      </w:r>
      <w:r w:rsidR="0067457F" w:rsidRPr="00C202EC">
        <w:rPr>
          <w:rFonts w:ascii="Arial" w:hAnsi="Arial" w:cs="Arial"/>
          <w:sz w:val="20"/>
          <w:szCs w:val="20"/>
          <w:vertAlign w:val="superscript"/>
        </w:rPr>
        <w:t>1</w:t>
      </w:r>
      <w:r w:rsidR="0067457F" w:rsidRPr="00C202EC">
        <w:rPr>
          <w:rFonts w:ascii="Arial" w:hAnsi="Arial" w:cs="Arial"/>
          <w:sz w:val="20"/>
          <w:szCs w:val="20"/>
        </w:rPr>
        <w:t xml:space="preserve"> </w:t>
      </w:r>
      <w:r w:rsidRPr="008D7185">
        <w:rPr>
          <w:rFonts w:ascii="Arial" w:hAnsi="Arial" w:cs="Arial"/>
          <w:sz w:val="20"/>
          <w:szCs w:val="20"/>
        </w:rPr>
        <w:t>Shasha Qiu,</w:t>
      </w:r>
      <w:r>
        <w:rPr>
          <w:rFonts w:ascii="Arial" w:hAnsi="Arial" w:cs="Arial" w:hint="eastAsia"/>
          <w:sz w:val="20"/>
          <w:szCs w:val="20"/>
          <w:vertAlign w:val="superscript"/>
          <w:lang w:eastAsia="zh-CN"/>
        </w:rPr>
        <w:t>1</w:t>
      </w:r>
      <w:r w:rsidR="0067457F" w:rsidRPr="00C202EC">
        <w:rPr>
          <w:rFonts w:ascii="Arial" w:hAnsi="Arial" w:cs="Arial"/>
          <w:sz w:val="20"/>
          <w:szCs w:val="20"/>
        </w:rPr>
        <w:t xml:space="preserve"> </w:t>
      </w:r>
      <w:r w:rsidRPr="008D7185">
        <w:rPr>
          <w:rFonts w:ascii="Arial" w:hAnsi="Arial" w:cs="Arial"/>
          <w:sz w:val="20"/>
          <w:szCs w:val="20"/>
        </w:rPr>
        <w:t>Logan Himes</w:t>
      </w:r>
      <w:r w:rsidR="00866357">
        <w:rPr>
          <w:rFonts w:ascii="Arial" w:hAnsi="Arial" w:cs="Arial"/>
          <w:sz w:val="20"/>
          <w:szCs w:val="20"/>
        </w:rPr>
        <w:t>,</w:t>
      </w:r>
      <w:r w:rsidR="0067457F" w:rsidRPr="00C202EC">
        <w:rPr>
          <w:rFonts w:ascii="Arial" w:hAnsi="Arial" w:cs="Arial"/>
          <w:sz w:val="20"/>
          <w:szCs w:val="20"/>
          <w:vertAlign w:val="superscript"/>
        </w:rPr>
        <w:t>1</w:t>
      </w:r>
      <w:r w:rsidR="00866357">
        <w:rPr>
          <w:rFonts w:ascii="Arial" w:hAnsi="Arial" w:cs="Arial"/>
          <w:sz w:val="20"/>
          <w:szCs w:val="20"/>
        </w:rPr>
        <w:t xml:space="preserve"> </w:t>
      </w:r>
      <w:proofErr w:type="spellStart"/>
      <w:r w:rsidRPr="008D7185">
        <w:rPr>
          <w:rFonts w:ascii="Arial" w:hAnsi="Arial" w:cs="Arial"/>
          <w:sz w:val="20"/>
          <w:szCs w:val="20"/>
        </w:rPr>
        <w:t>Xiaoliang</w:t>
      </w:r>
      <w:proofErr w:type="spellEnd"/>
      <w:r w:rsidRPr="008D7185">
        <w:rPr>
          <w:rFonts w:ascii="Arial" w:hAnsi="Arial" w:cs="Arial"/>
          <w:sz w:val="20"/>
          <w:szCs w:val="20"/>
        </w:rPr>
        <w:t xml:space="preserve"> Li</w:t>
      </w:r>
      <w:r>
        <w:rPr>
          <w:rFonts w:ascii="Arial" w:hAnsi="Arial" w:cs="Arial"/>
          <w:sz w:val="20"/>
          <w:szCs w:val="20"/>
        </w:rPr>
        <w:t>,</w:t>
      </w:r>
      <w:proofErr w:type="gramStart"/>
      <w:r>
        <w:rPr>
          <w:rFonts w:ascii="Arial" w:hAnsi="Arial" w:cs="Arial" w:hint="eastAsia"/>
          <w:sz w:val="20"/>
          <w:szCs w:val="20"/>
          <w:vertAlign w:val="superscript"/>
          <w:lang w:eastAsia="zh-CN"/>
        </w:rPr>
        <w:t>2</w:t>
      </w:r>
      <w:r w:rsidRPr="00C202EC">
        <w:rPr>
          <w:rFonts w:ascii="Arial" w:hAnsi="Arial" w:cs="Arial"/>
          <w:sz w:val="20"/>
          <w:szCs w:val="20"/>
          <w:vertAlign w:val="superscript"/>
        </w:rPr>
        <w:t>,</w:t>
      </w:r>
      <w:r>
        <w:rPr>
          <w:rFonts w:ascii="Arial" w:hAnsi="Arial" w:cs="Arial"/>
          <w:sz w:val="20"/>
          <w:szCs w:val="20"/>
          <w:vertAlign w:val="superscript"/>
        </w:rPr>
        <w:t>a</w:t>
      </w:r>
      <w:proofErr w:type="gramEnd"/>
      <w:r w:rsidRPr="00C202EC">
        <w:rPr>
          <w:rFonts w:ascii="Arial" w:hAnsi="Arial" w:cs="Arial"/>
          <w:sz w:val="20"/>
          <w:szCs w:val="20"/>
          <w:vertAlign w:val="superscript"/>
        </w:rPr>
        <w:t>)</w:t>
      </w:r>
      <w:r>
        <w:rPr>
          <w:rFonts w:ascii="Arial" w:hAnsi="Arial" w:cs="Arial"/>
          <w:sz w:val="20"/>
          <w:szCs w:val="20"/>
        </w:rPr>
        <w:t xml:space="preserve"> </w:t>
      </w:r>
      <w:proofErr w:type="spellStart"/>
      <w:r>
        <w:rPr>
          <w:rFonts w:ascii="Arial" w:hAnsi="Arial" w:cs="Arial" w:hint="eastAsia"/>
          <w:sz w:val="20"/>
          <w:szCs w:val="20"/>
          <w:lang w:eastAsia="zh-CN"/>
        </w:rPr>
        <w:t>Xinhang</w:t>
      </w:r>
      <w:proofErr w:type="spellEnd"/>
      <w:r>
        <w:rPr>
          <w:rFonts w:ascii="Arial" w:hAnsi="Arial" w:cs="Arial" w:hint="eastAsia"/>
          <w:sz w:val="20"/>
          <w:szCs w:val="20"/>
          <w:lang w:eastAsia="zh-CN"/>
        </w:rPr>
        <w:t xml:space="preserve"> Xu</w:t>
      </w:r>
      <w:r>
        <w:rPr>
          <w:rFonts w:ascii="Arial" w:hAnsi="Arial" w:cs="Arial"/>
          <w:sz w:val="20"/>
          <w:szCs w:val="20"/>
        </w:rPr>
        <w:t>,</w:t>
      </w:r>
      <w:r w:rsidRPr="00C202EC">
        <w:rPr>
          <w:rFonts w:ascii="Arial" w:hAnsi="Arial" w:cs="Arial"/>
          <w:sz w:val="20"/>
          <w:szCs w:val="20"/>
          <w:vertAlign w:val="superscript"/>
        </w:rPr>
        <w:t>1</w:t>
      </w:r>
      <w:r w:rsidRPr="008D7185">
        <w:rPr>
          <w:rFonts w:ascii="Arial" w:hAnsi="Arial" w:cs="Arial"/>
          <w:sz w:val="20"/>
          <w:szCs w:val="20"/>
        </w:rPr>
        <w:t xml:space="preserve"> </w:t>
      </w:r>
      <w:r>
        <w:rPr>
          <w:rFonts w:ascii="Arial" w:hAnsi="Arial" w:cs="Arial"/>
          <w:sz w:val="20"/>
          <w:szCs w:val="20"/>
        </w:rPr>
        <w:t>and</w:t>
      </w:r>
      <w:r w:rsidRPr="008D7185">
        <w:rPr>
          <w:rFonts w:ascii="Arial" w:hAnsi="Arial" w:cs="Arial"/>
          <w:sz w:val="20"/>
          <w:szCs w:val="20"/>
        </w:rPr>
        <w:t xml:space="preserve"> Yilun Zhu </w:t>
      </w:r>
      <w:r>
        <w:rPr>
          <w:rFonts w:ascii="Arial" w:hAnsi="Arial" w:cs="Arial" w:hint="eastAsia"/>
          <w:sz w:val="20"/>
          <w:szCs w:val="20"/>
          <w:vertAlign w:val="superscript"/>
          <w:lang w:eastAsia="zh-CN"/>
        </w:rPr>
        <w:t>1</w:t>
      </w:r>
    </w:p>
    <w:p w14:paraId="1DDC0C8C" w14:textId="23A4A83F" w:rsidR="0067457F" w:rsidRDefault="008D7185" w:rsidP="0067457F">
      <w:pPr>
        <w:ind w:left="720" w:right="684"/>
        <w:rPr>
          <w:i/>
          <w:sz w:val="18"/>
          <w:szCs w:val="18"/>
          <w:lang w:eastAsia="zh-CN"/>
        </w:rPr>
      </w:pPr>
      <w:r>
        <w:rPr>
          <w:rFonts w:hint="eastAsia"/>
          <w:i/>
          <w:sz w:val="18"/>
          <w:szCs w:val="18"/>
          <w:vertAlign w:val="superscript"/>
          <w:lang w:eastAsia="zh-CN"/>
        </w:rPr>
        <w:t>1</w:t>
      </w:r>
      <w:r w:rsidRPr="008D7185">
        <w:rPr>
          <w:i/>
          <w:sz w:val="18"/>
          <w:szCs w:val="18"/>
        </w:rPr>
        <w:t>University of California Davis, Davis, California, 95616, USA</w:t>
      </w:r>
    </w:p>
    <w:p w14:paraId="672ED8F6" w14:textId="3E34463F" w:rsidR="008D7185" w:rsidRDefault="008D7185" w:rsidP="008D7185">
      <w:pPr>
        <w:ind w:left="720" w:right="684"/>
        <w:rPr>
          <w:i/>
          <w:sz w:val="18"/>
          <w:szCs w:val="18"/>
          <w:lang w:eastAsia="zh-CN"/>
        </w:rPr>
      </w:pPr>
      <w:r>
        <w:rPr>
          <w:rFonts w:hint="eastAsia"/>
          <w:i/>
          <w:sz w:val="18"/>
          <w:szCs w:val="18"/>
          <w:vertAlign w:val="superscript"/>
          <w:lang w:eastAsia="zh-CN"/>
        </w:rPr>
        <w:t>2</w:t>
      </w:r>
      <w:r w:rsidRPr="008D7185">
        <w:rPr>
          <w:i/>
          <w:sz w:val="18"/>
          <w:szCs w:val="18"/>
        </w:rPr>
        <w:t>Future Energy Acceleration &amp; Translation (FEAT), Agency for Science, Technology and Research (A*STAR), 2 Fusionopolis Way, Innovis #08-03, Singapore 138634, Republic of Singapore.</w:t>
      </w:r>
    </w:p>
    <w:p w14:paraId="117DBDE4" w14:textId="77777777" w:rsidR="008D7185" w:rsidRPr="004A787F" w:rsidRDefault="008D7185" w:rsidP="0067457F">
      <w:pPr>
        <w:ind w:left="720" w:right="684"/>
        <w:rPr>
          <w:i/>
          <w:sz w:val="20"/>
          <w:szCs w:val="20"/>
          <w:lang w:eastAsia="zh-CN"/>
        </w:rPr>
      </w:pPr>
    </w:p>
    <w:p w14:paraId="1DDA2157" w14:textId="77777777" w:rsidR="0067457F" w:rsidRDefault="0067457F" w:rsidP="0067457F">
      <w:pPr>
        <w:ind w:left="720" w:right="684"/>
        <w:rPr>
          <w:rFonts w:ascii="Arial" w:hAnsi="Arial" w:cs="Arial"/>
          <w:sz w:val="25"/>
          <w:szCs w:val="25"/>
        </w:rPr>
      </w:pPr>
      <w:r>
        <w:rPr>
          <w:sz w:val="20"/>
          <w:szCs w:val="20"/>
        </w:rPr>
        <w:t>(Presented XXXXX; received</w:t>
      </w:r>
      <w:r w:rsidRPr="004A787F">
        <w:rPr>
          <w:sz w:val="20"/>
          <w:szCs w:val="20"/>
        </w:rPr>
        <w:t xml:space="preserve"> </w:t>
      </w:r>
      <w:r>
        <w:rPr>
          <w:sz w:val="20"/>
          <w:szCs w:val="20"/>
        </w:rPr>
        <w:t>XXXXX;</w:t>
      </w:r>
      <w:r w:rsidRPr="004A787F">
        <w:rPr>
          <w:sz w:val="20"/>
          <w:szCs w:val="20"/>
        </w:rPr>
        <w:t xml:space="preserve"> accepted</w:t>
      </w:r>
      <w:r>
        <w:rPr>
          <w:sz w:val="20"/>
          <w:szCs w:val="20"/>
        </w:rPr>
        <w:t xml:space="preserve"> XXXXX;</w:t>
      </w:r>
      <w:r w:rsidRPr="004A787F">
        <w:rPr>
          <w:sz w:val="20"/>
          <w:szCs w:val="20"/>
        </w:rPr>
        <w:t xml:space="preserve"> published online </w:t>
      </w:r>
      <w:r>
        <w:rPr>
          <w:sz w:val="20"/>
          <w:szCs w:val="20"/>
        </w:rPr>
        <w:t>XXXX</w:t>
      </w:r>
      <w:r w:rsidRPr="004A787F">
        <w:rPr>
          <w:sz w:val="20"/>
          <w:szCs w:val="20"/>
        </w:rPr>
        <w:t>X)</w:t>
      </w:r>
      <w:r w:rsidRPr="008D45B9">
        <w:rPr>
          <w:rFonts w:ascii="Arial" w:hAnsi="Arial" w:cs="Arial"/>
          <w:sz w:val="25"/>
          <w:szCs w:val="25"/>
        </w:rPr>
        <w:t xml:space="preserve"> </w:t>
      </w:r>
    </w:p>
    <w:p w14:paraId="543DCF36" w14:textId="1293D6DA" w:rsidR="0067457F" w:rsidRPr="004A787F" w:rsidRDefault="0067457F" w:rsidP="0067457F">
      <w:pPr>
        <w:ind w:left="720" w:right="684"/>
        <w:rPr>
          <w:sz w:val="20"/>
          <w:szCs w:val="20"/>
        </w:rPr>
      </w:pPr>
      <w:r w:rsidRPr="008D45B9">
        <w:rPr>
          <w:sz w:val="20"/>
          <w:szCs w:val="20"/>
        </w:rPr>
        <w:t>(Dates appearing here are provided by the Editorial Office)</w:t>
      </w:r>
    </w:p>
    <w:p w14:paraId="624324D4" w14:textId="3947C716" w:rsidR="0067457F" w:rsidRPr="00B0754B" w:rsidRDefault="008D7185" w:rsidP="008D1BF5">
      <w:pPr>
        <w:ind w:left="720" w:right="684"/>
        <w:jc w:val="both"/>
        <w:rPr>
          <w:sz w:val="20"/>
          <w:szCs w:val="20"/>
          <w:lang w:eastAsia="zh-CN"/>
        </w:rPr>
      </w:pPr>
      <w:r w:rsidRPr="008D7185">
        <w:rPr>
          <w:sz w:val="20"/>
          <w:szCs w:val="20"/>
        </w:rPr>
        <w:t xml:space="preserve">Intense stray radiation from high-power 170 GHz gyrotrons used for Electron Cyclotron Heating (ECH) in magnetic confinement fusion devices </w:t>
      </w:r>
      <w:r w:rsidR="008E6874" w:rsidRPr="008E6874">
        <w:rPr>
          <w:sz w:val="20"/>
          <w:szCs w:val="20"/>
        </w:rPr>
        <w:t>poses a severe threat to sensitive microwave diagnostic receivers</w:t>
      </w:r>
      <w:r w:rsidRPr="008D7185">
        <w:rPr>
          <w:sz w:val="20"/>
          <w:szCs w:val="20"/>
        </w:rPr>
        <w:t xml:space="preserve">. To protect these critical front-end systems in next-generation burning plasma experiments, this paper presents ENOCH (Electromagnetic Notch Protection of Electron Cyclotron Heating), a novel 170 GHz waveguide-based notch filter. Engineered within a standard WR-06 waveguide geometry, the proposed eight-cavity resonant structure provides robust power protection without sacrificing diagnostic performance. Full-wave electromagnetic simulations demonstrate an exceptional rejection depth exceeding 90 dB at the 170 GHz interference frequency alongside a remarkably low insertion loss across the primary 134–166 GHz diagnostic passband. Furthermore, a coupled electromagnetic-thermal analysis confirms the filter's structural resilience under 100 W of continuous-wave input power. Compact, manufacturable, and easily integrated, the ENOCH design fulfills the stringent operational criteria required for reliable diagnostic </w:t>
      </w:r>
      <w:r w:rsidR="008E6874" w:rsidRPr="008E6874">
        <w:rPr>
          <w:sz w:val="20"/>
          <w:szCs w:val="20"/>
        </w:rPr>
        <w:t>protection</w:t>
      </w:r>
      <w:r w:rsidRPr="008D7185">
        <w:rPr>
          <w:sz w:val="20"/>
          <w:szCs w:val="20"/>
        </w:rPr>
        <w:t xml:space="preserve"> in high-power, harsh environments typical of ITER- and ARC-class tokamaks.</w:t>
      </w:r>
    </w:p>
    <w:p w14:paraId="44E8CD87" w14:textId="77777777" w:rsidR="0067457F" w:rsidRPr="00B0754B" w:rsidRDefault="0067457F" w:rsidP="0067457F">
      <w:pPr>
        <w:ind w:left="720" w:right="684"/>
        <w:rPr>
          <w:sz w:val="20"/>
          <w:szCs w:val="20"/>
        </w:rPr>
      </w:pPr>
    </w:p>
    <w:p w14:paraId="32219F31" w14:textId="77777777" w:rsidR="0067457F" w:rsidRPr="00B0754B" w:rsidRDefault="0067457F" w:rsidP="0067457F">
      <w:pPr>
        <w:ind w:left="720" w:right="684"/>
        <w:rPr>
          <w:sz w:val="20"/>
          <w:szCs w:val="20"/>
        </w:rPr>
        <w:sectPr w:rsidR="0067457F" w:rsidRPr="00B0754B" w:rsidSect="00D57BD2">
          <w:headerReference w:type="default" r:id="rId11"/>
          <w:footerReference w:type="even" r:id="rId12"/>
          <w:type w:val="continuous"/>
          <w:pgSz w:w="12240" w:h="15840"/>
          <w:pgMar w:top="1440" w:right="1008" w:bottom="1440" w:left="1008" w:header="720" w:footer="720" w:gutter="0"/>
          <w:cols w:space="720"/>
          <w:vAlign w:val="bottom"/>
          <w:docGrid w:linePitch="360"/>
        </w:sectPr>
      </w:pPr>
    </w:p>
    <w:p w14:paraId="4EE4EAE6" w14:textId="64F3E47C" w:rsidR="0067457F" w:rsidRPr="003C3104" w:rsidRDefault="0067457F" w:rsidP="00776757">
      <w:pPr>
        <w:pStyle w:val="NormalWeb"/>
        <w:shd w:val="clear" w:color="auto" w:fill="FFFFFF"/>
        <w:spacing w:before="120" w:beforeAutospacing="0" w:after="120" w:afterAutospacing="0"/>
        <w:jc w:val="both"/>
        <w:rPr>
          <w:rFonts w:ascii="Arial" w:hAnsi="Arial" w:cs="Arial"/>
          <w:b/>
          <w:sz w:val="19"/>
          <w:szCs w:val="19"/>
          <w:lang w:eastAsia="zh-CN"/>
        </w:rPr>
      </w:pPr>
      <w:r w:rsidRPr="003C3104">
        <w:rPr>
          <w:rFonts w:ascii="Arial" w:hAnsi="Arial" w:cs="Arial"/>
          <w:b/>
          <w:sz w:val="19"/>
          <w:szCs w:val="19"/>
        </w:rPr>
        <w:t xml:space="preserve">I. </w:t>
      </w:r>
      <w:r w:rsidR="008D7185" w:rsidRPr="008D7185">
        <w:rPr>
          <w:rFonts w:ascii="Arial" w:hAnsi="Arial" w:cs="Arial"/>
          <w:b/>
          <w:sz w:val="19"/>
          <w:szCs w:val="19"/>
        </w:rPr>
        <w:t>I</w:t>
      </w:r>
      <w:r w:rsidR="008D7185">
        <w:rPr>
          <w:rFonts w:ascii="Arial" w:hAnsi="Arial" w:cs="Arial" w:hint="eastAsia"/>
          <w:b/>
          <w:sz w:val="19"/>
          <w:szCs w:val="19"/>
          <w:lang w:eastAsia="zh-CN"/>
        </w:rPr>
        <w:t>NTRODUCTION</w:t>
      </w:r>
    </w:p>
    <w:p w14:paraId="0ACFEFDB" w14:textId="55F79207" w:rsidR="0067457F" w:rsidRPr="00C205A6" w:rsidRDefault="008D7185" w:rsidP="00776757">
      <w:pPr>
        <w:pStyle w:val="NormalWeb"/>
        <w:shd w:val="clear" w:color="auto" w:fill="FFFFFF"/>
        <w:spacing w:before="120" w:beforeAutospacing="0" w:after="120" w:afterAutospacing="0"/>
        <w:ind w:firstLine="360"/>
        <w:jc w:val="both"/>
        <w:rPr>
          <w:b/>
          <w:color w:val="FF0000"/>
          <w:sz w:val="20"/>
          <w:szCs w:val="20"/>
          <w:lang w:eastAsia="zh-CN"/>
        </w:rPr>
      </w:pPr>
      <w:r w:rsidRPr="008D7185">
        <w:rPr>
          <w:sz w:val="20"/>
          <w:szCs w:val="20"/>
        </w:rPr>
        <w:t>Owing to their non-invasive nature, high spatiotemporal resolution, and low maintenance, microwave diagnostics</w:t>
      </w:r>
      <w:r w:rsidR="00DA6C60" w:rsidRPr="002150FC">
        <w:rPr>
          <w:rFonts w:hint="eastAsia"/>
          <w:sz w:val="20"/>
          <w:szCs w:val="20"/>
          <w:vertAlign w:val="superscript"/>
          <w:lang w:eastAsia="zh-CN"/>
        </w:rPr>
        <w:t xml:space="preserve"> </w:t>
      </w:r>
      <w:r w:rsidR="00357D0D">
        <w:rPr>
          <w:sz w:val="20"/>
          <w:szCs w:val="20"/>
          <w:lang w:eastAsia="zh-CN"/>
        </w:rPr>
        <w:fldChar w:fldCharType="begin"/>
      </w:r>
      <w:r w:rsidR="00357D0D">
        <w:rPr>
          <w:sz w:val="20"/>
          <w:szCs w:val="20"/>
          <w:vertAlign w:val="superscript"/>
          <w:lang w:eastAsia="zh-CN"/>
        </w:rPr>
        <w:instrText xml:space="preserve"> </w:instrText>
      </w:r>
      <w:r w:rsidR="00357D0D">
        <w:rPr>
          <w:rFonts w:hint="eastAsia"/>
          <w:sz w:val="20"/>
          <w:szCs w:val="20"/>
          <w:vertAlign w:val="superscript"/>
          <w:lang w:eastAsia="zh-CN"/>
        </w:rPr>
        <w:instrText>REF _Ref213328809 \r \h</w:instrText>
      </w:r>
      <w:r w:rsidR="00357D0D">
        <w:rPr>
          <w:sz w:val="20"/>
          <w:szCs w:val="20"/>
          <w:vertAlign w:val="superscript"/>
          <w:lang w:eastAsia="zh-CN"/>
        </w:rPr>
        <w:instrText xml:space="preserve"> </w:instrText>
      </w:r>
      <w:r w:rsidR="00357D0D">
        <w:rPr>
          <w:sz w:val="20"/>
          <w:szCs w:val="20"/>
          <w:lang w:eastAsia="zh-CN"/>
        </w:rPr>
      </w:r>
      <w:r w:rsidR="00357D0D">
        <w:rPr>
          <w:sz w:val="20"/>
          <w:szCs w:val="20"/>
          <w:lang w:eastAsia="zh-CN"/>
        </w:rPr>
        <w:fldChar w:fldCharType="separate"/>
      </w:r>
      <w:r w:rsidR="00A85A9A">
        <w:rPr>
          <w:sz w:val="20"/>
          <w:szCs w:val="20"/>
          <w:vertAlign w:val="superscript"/>
          <w:lang w:eastAsia="zh-CN"/>
        </w:rPr>
        <w:t>1</w:t>
      </w:r>
      <w:r w:rsidR="00357D0D">
        <w:rPr>
          <w:sz w:val="20"/>
          <w:szCs w:val="20"/>
          <w:lang w:eastAsia="zh-CN"/>
        </w:rPr>
        <w:fldChar w:fldCharType="end"/>
      </w:r>
      <w:r w:rsidR="00357D0D">
        <w:rPr>
          <w:rFonts w:hint="eastAsia"/>
          <w:sz w:val="20"/>
          <w:szCs w:val="20"/>
          <w:vertAlign w:val="superscript"/>
          <w:lang w:eastAsia="zh-CN"/>
        </w:rPr>
        <w:t>,</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_Ref231913171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b/>
          <w:bCs/>
          <w:sz w:val="20"/>
          <w:szCs w:val="20"/>
          <w:vertAlign w:val="superscript"/>
          <w:lang w:eastAsia="zh-CN"/>
        </w:rPr>
        <w:t>Error! Reference source not found.</w:t>
      </w:r>
      <w:r w:rsidR="00357D0D" w:rsidRPr="00357D0D">
        <w:rPr>
          <w:sz w:val="20"/>
          <w:szCs w:val="20"/>
          <w:vertAlign w:val="superscript"/>
          <w:lang w:eastAsia="zh-CN"/>
        </w:rPr>
        <w:fldChar w:fldCharType="end"/>
      </w:r>
      <w:r w:rsidR="005A058C">
        <w:rPr>
          <w:rFonts w:hint="eastAsia"/>
          <w:sz w:val="20"/>
          <w:szCs w:val="20"/>
          <w:vertAlign w:val="superscript"/>
          <w:lang w:eastAsia="zh-CN"/>
        </w:rPr>
        <w:t>,</w:t>
      </w:r>
      <w:r w:rsidR="005A058C">
        <w:rPr>
          <w:sz w:val="20"/>
          <w:szCs w:val="20"/>
          <w:vertAlign w:val="superscript"/>
          <w:lang w:eastAsia="zh-CN"/>
        </w:rPr>
        <w:fldChar w:fldCharType="begin"/>
      </w:r>
      <w:r w:rsidR="005A058C">
        <w:rPr>
          <w:sz w:val="20"/>
          <w:szCs w:val="20"/>
          <w:vertAlign w:val="superscript"/>
          <w:lang w:eastAsia="zh-CN"/>
        </w:rPr>
        <w:instrText xml:space="preserve"> </w:instrText>
      </w:r>
      <w:r w:rsidR="005A058C">
        <w:rPr>
          <w:rFonts w:hint="eastAsia"/>
          <w:sz w:val="20"/>
          <w:szCs w:val="20"/>
          <w:vertAlign w:val="superscript"/>
          <w:lang w:eastAsia="zh-CN"/>
        </w:rPr>
        <w:instrText>REF _Ref231914415 \r \h</w:instrText>
      </w:r>
      <w:r w:rsidR="005A058C">
        <w:rPr>
          <w:sz w:val="20"/>
          <w:szCs w:val="20"/>
          <w:vertAlign w:val="superscript"/>
          <w:lang w:eastAsia="zh-CN"/>
        </w:rPr>
        <w:instrText xml:space="preserve"> </w:instrText>
      </w:r>
      <w:r w:rsidR="005A058C">
        <w:rPr>
          <w:sz w:val="20"/>
          <w:szCs w:val="20"/>
          <w:vertAlign w:val="superscript"/>
          <w:lang w:eastAsia="zh-CN"/>
        </w:rPr>
      </w:r>
      <w:r w:rsidR="005A058C">
        <w:rPr>
          <w:sz w:val="20"/>
          <w:szCs w:val="20"/>
          <w:vertAlign w:val="superscript"/>
          <w:lang w:eastAsia="zh-CN"/>
        </w:rPr>
        <w:fldChar w:fldCharType="separate"/>
      </w:r>
      <w:r w:rsidR="00A85A9A">
        <w:rPr>
          <w:sz w:val="20"/>
          <w:szCs w:val="20"/>
          <w:vertAlign w:val="superscript"/>
          <w:lang w:eastAsia="zh-CN"/>
        </w:rPr>
        <w:t>3</w:t>
      </w:r>
      <w:r w:rsidR="005A058C">
        <w:rPr>
          <w:sz w:val="20"/>
          <w:szCs w:val="20"/>
          <w:vertAlign w:val="superscript"/>
          <w:lang w:eastAsia="zh-CN"/>
        </w:rPr>
        <w:fldChar w:fldCharType="end"/>
      </w:r>
      <w:r w:rsidR="00E16F15">
        <w:rPr>
          <w:rFonts w:hint="eastAsia"/>
          <w:sz w:val="20"/>
          <w:szCs w:val="20"/>
          <w:lang w:eastAsia="zh-CN"/>
        </w:rPr>
        <w:t xml:space="preserve"> </w:t>
      </w:r>
      <w:r w:rsidRPr="008D7185">
        <w:rPr>
          <w:sz w:val="20"/>
          <w:szCs w:val="20"/>
        </w:rPr>
        <w:t>are widely employed for parameter measurement in magnetic confinement fusion devices and have contributed significantly to physical understanding. While advanced technologies like integrated Systems-on-Chip (SoC)</w:t>
      </w:r>
      <w:r w:rsidR="00357D0D" w:rsidRPr="00357D0D">
        <w:rPr>
          <w:sz w:val="20"/>
          <w:szCs w:val="20"/>
          <w:vertAlign w:val="superscript"/>
        </w:rPr>
        <w:fldChar w:fldCharType="begin"/>
      </w:r>
      <w:r w:rsidR="00357D0D" w:rsidRPr="00357D0D">
        <w:rPr>
          <w:sz w:val="20"/>
          <w:szCs w:val="20"/>
          <w:vertAlign w:val="superscript"/>
        </w:rPr>
        <w:instrText xml:space="preserve"> REF _Ref231913224 \r \h  \* MERGEFORMAT </w:instrText>
      </w:r>
      <w:r w:rsidR="00357D0D" w:rsidRPr="00357D0D">
        <w:rPr>
          <w:sz w:val="20"/>
          <w:szCs w:val="20"/>
          <w:vertAlign w:val="superscript"/>
        </w:rPr>
      </w:r>
      <w:r w:rsidR="00357D0D" w:rsidRPr="00357D0D">
        <w:rPr>
          <w:sz w:val="20"/>
          <w:szCs w:val="20"/>
          <w:vertAlign w:val="superscript"/>
        </w:rPr>
        <w:fldChar w:fldCharType="separate"/>
      </w:r>
      <w:r w:rsidR="00A85A9A">
        <w:rPr>
          <w:sz w:val="20"/>
          <w:szCs w:val="20"/>
          <w:vertAlign w:val="superscript"/>
        </w:rPr>
        <w:t>4</w:t>
      </w:r>
      <w:r w:rsidR="00357D0D" w:rsidRPr="00357D0D">
        <w:rPr>
          <w:sz w:val="20"/>
          <w:szCs w:val="20"/>
          <w:vertAlign w:val="superscript"/>
        </w:rPr>
        <w:fldChar w:fldCharType="end"/>
      </w:r>
      <w:r w:rsidR="00357D0D">
        <w:rPr>
          <w:rFonts w:hint="eastAsia"/>
          <w:sz w:val="20"/>
          <w:szCs w:val="20"/>
          <w:vertAlign w:val="superscript"/>
          <w:lang w:eastAsia="zh-CN"/>
        </w:rPr>
        <w:t>,</w:t>
      </w:r>
      <w:r w:rsidR="00357D0D">
        <w:rPr>
          <w:sz w:val="20"/>
          <w:szCs w:val="20"/>
          <w:vertAlign w:val="superscript"/>
        </w:rPr>
        <w:fldChar w:fldCharType="begin"/>
      </w:r>
      <w:r w:rsidR="00357D0D">
        <w:rPr>
          <w:sz w:val="20"/>
          <w:szCs w:val="20"/>
          <w:vertAlign w:val="superscript"/>
        </w:rPr>
        <w:instrText xml:space="preserve"> REF _Ref231913226 \r \h </w:instrText>
      </w:r>
      <w:r w:rsidR="00357D0D">
        <w:rPr>
          <w:sz w:val="20"/>
          <w:szCs w:val="20"/>
          <w:vertAlign w:val="superscript"/>
        </w:rPr>
      </w:r>
      <w:r w:rsidR="00357D0D">
        <w:rPr>
          <w:sz w:val="20"/>
          <w:szCs w:val="20"/>
          <w:vertAlign w:val="superscript"/>
        </w:rPr>
        <w:fldChar w:fldCharType="separate"/>
      </w:r>
      <w:r w:rsidR="00A85A9A">
        <w:rPr>
          <w:sz w:val="20"/>
          <w:szCs w:val="20"/>
          <w:vertAlign w:val="superscript"/>
        </w:rPr>
        <w:t>5</w:t>
      </w:r>
      <w:r w:rsidR="00357D0D">
        <w:rPr>
          <w:sz w:val="20"/>
          <w:szCs w:val="20"/>
          <w:vertAlign w:val="superscript"/>
        </w:rPr>
        <w:fldChar w:fldCharType="end"/>
      </w:r>
      <w:r w:rsidR="00357D0D">
        <w:rPr>
          <w:rFonts w:hint="eastAsia"/>
          <w:sz w:val="20"/>
          <w:szCs w:val="20"/>
          <w:vertAlign w:val="superscript"/>
          <w:lang w:eastAsia="zh-CN"/>
        </w:rPr>
        <w:t>,</w:t>
      </w:r>
      <w:r w:rsidR="00357D0D">
        <w:rPr>
          <w:sz w:val="20"/>
          <w:szCs w:val="20"/>
          <w:vertAlign w:val="superscript"/>
        </w:rPr>
        <w:fldChar w:fldCharType="begin"/>
      </w:r>
      <w:r w:rsidR="00357D0D">
        <w:rPr>
          <w:sz w:val="20"/>
          <w:szCs w:val="20"/>
          <w:vertAlign w:val="superscript"/>
        </w:rPr>
        <w:instrText xml:space="preserve"> REF _Ref231913227 \r \h </w:instrText>
      </w:r>
      <w:r w:rsidR="00357D0D">
        <w:rPr>
          <w:sz w:val="20"/>
          <w:szCs w:val="20"/>
          <w:vertAlign w:val="superscript"/>
        </w:rPr>
      </w:r>
      <w:r w:rsidR="00357D0D">
        <w:rPr>
          <w:sz w:val="20"/>
          <w:szCs w:val="20"/>
          <w:vertAlign w:val="superscript"/>
        </w:rPr>
        <w:fldChar w:fldCharType="separate"/>
      </w:r>
      <w:r w:rsidR="00A85A9A">
        <w:rPr>
          <w:sz w:val="20"/>
          <w:szCs w:val="20"/>
          <w:vertAlign w:val="superscript"/>
        </w:rPr>
        <w:t>6</w:t>
      </w:r>
      <w:r w:rsidR="00357D0D">
        <w:rPr>
          <w:sz w:val="20"/>
          <w:szCs w:val="20"/>
          <w:vertAlign w:val="superscript"/>
        </w:rPr>
        <w:fldChar w:fldCharType="end"/>
      </w:r>
      <w:r w:rsidR="005A058C">
        <w:rPr>
          <w:rFonts w:hint="eastAsia"/>
          <w:sz w:val="20"/>
          <w:szCs w:val="20"/>
          <w:vertAlign w:val="superscript"/>
          <w:lang w:eastAsia="zh-CN"/>
        </w:rPr>
        <w:t>,</w:t>
      </w:r>
      <w:r w:rsidR="005A058C">
        <w:rPr>
          <w:sz w:val="20"/>
          <w:szCs w:val="20"/>
          <w:vertAlign w:val="superscript"/>
          <w:lang w:eastAsia="zh-CN"/>
        </w:rPr>
        <w:fldChar w:fldCharType="begin"/>
      </w:r>
      <w:r w:rsidR="005A058C">
        <w:rPr>
          <w:sz w:val="20"/>
          <w:szCs w:val="20"/>
          <w:vertAlign w:val="superscript"/>
          <w:lang w:eastAsia="zh-CN"/>
        </w:rPr>
        <w:instrText xml:space="preserve"> </w:instrText>
      </w:r>
      <w:r w:rsidR="005A058C">
        <w:rPr>
          <w:rFonts w:hint="eastAsia"/>
          <w:sz w:val="20"/>
          <w:szCs w:val="20"/>
          <w:vertAlign w:val="superscript"/>
          <w:lang w:eastAsia="zh-CN"/>
        </w:rPr>
        <w:instrText>REF _Ref231914159 \r \h</w:instrText>
      </w:r>
      <w:r w:rsidR="005A058C">
        <w:rPr>
          <w:sz w:val="20"/>
          <w:szCs w:val="20"/>
          <w:vertAlign w:val="superscript"/>
          <w:lang w:eastAsia="zh-CN"/>
        </w:rPr>
        <w:instrText xml:space="preserve"> </w:instrText>
      </w:r>
      <w:r w:rsidR="005A058C">
        <w:rPr>
          <w:sz w:val="20"/>
          <w:szCs w:val="20"/>
          <w:vertAlign w:val="superscript"/>
          <w:lang w:eastAsia="zh-CN"/>
        </w:rPr>
      </w:r>
      <w:r w:rsidR="005A058C">
        <w:rPr>
          <w:sz w:val="20"/>
          <w:szCs w:val="20"/>
          <w:vertAlign w:val="superscript"/>
          <w:lang w:eastAsia="zh-CN"/>
        </w:rPr>
        <w:fldChar w:fldCharType="separate"/>
      </w:r>
      <w:r w:rsidR="00A85A9A">
        <w:rPr>
          <w:sz w:val="20"/>
          <w:szCs w:val="20"/>
          <w:vertAlign w:val="superscript"/>
          <w:lang w:eastAsia="zh-CN"/>
        </w:rPr>
        <w:t>7</w:t>
      </w:r>
      <w:r w:rsidR="005A058C">
        <w:rPr>
          <w:sz w:val="20"/>
          <w:szCs w:val="20"/>
          <w:vertAlign w:val="superscript"/>
          <w:lang w:eastAsia="zh-CN"/>
        </w:rPr>
        <w:fldChar w:fldCharType="end"/>
      </w:r>
      <w:r w:rsidR="00E16F15">
        <w:rPr>
          <w:rFonts w:hint="eastAsia"/>
          <w:sz w:val="20"/>
          <w:szCs w:val="20"/>
          <w:lang w:eastAsia="zh-CN"/>
        </w:rPr>
        <w:t xml:space="preserve"> </w:t>
      </w:r>
      <w:r w:rsidRPr="008D7185">
        <w:rPr>
          <w:sz w:val="20"/>
          <w:szCs w:val="20"/>
        </w:rPr>
        <w:t xml:space="preserve"> </w:t>
      </w:r>
      <w:r w:rsidR="000553E6">
        <w:rPr>
          <w:rFonts w:hint="eastAsia"/>
          <w:sz w:val="20"/>
          <w:szCs w:val="20"/>
          <w:lang w:eastAsia="zh-CN"/>
        </w:rPr>
        <w:t xml:space="preserve">, synthetic </w:t>
      </w:r>
      <w:r w:rsidR="000553E6">
        <w:rPr>
          <w:sz w:val="20"/>
          <w:szCs w:val="20"/>
          <w:lang w:eastAsia="zh-CN"/>
        </w:rPr>
        <w:t>diagnostic</w:t>
      </w:r>
      <w:r w:rsidR="008E6874">
        <w:rPr>
          <w:rFonts w:hint="eastAsia"/>
          <w:sz w:val="20"/>
          <w:szCs w:val="20"/>
          <w:lang w:eastAsia="zh-CN"/>
        </w:rPr>
        <w:t>s</w:t>
      </w:r>
      <w:r w:rsidR="000553E6">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_Ref231913802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8</w:t>
      </w:r>
      <w:r w:rsidR="00357D0D" w:rsidRPr="00357D0D">
        <w:rPr>
          <w:sz w:val="20"/>
          <w:szCs w:val="20"/>
          <w:vertAlign w:val="superscript"/>
          <w:lang w:eastAsia="zh-CN"/>
        </w:rPr>
        <w:fldChar w:fldCharType="end"/>
      </w:r>
      <w:r w:rsidR="00357D0D" w:rsidRPr="00357D0D">
        <w:rPr>
          <w:rFonts w:hint="eastAsia"/>
          <w:sz w:val="20"/>
          <w:szCs w:val="20"/>
          <w:vertAlign w:val="superscript"/>
          <w:lang w:eastAsia="zh-CN"/>
        </w:rPr>
        <w:t>,</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_Ref231913803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9</w:t>
      </w:r>
      <w:r w:rsidR="00357D0D" w:rsidRPr="00357D0D">
        <w:rPr>
          <w:sz w:val="20"/>
          <w:szCs w:val="20"/>
          <w:vertAlign w:val="superscript"/>
          <w:lang w:eastAsia="zh-CN"/>
        </w:rPr>
        <w:fldChar w:fldCharType="end"/>
      </w:r>
      <w:r w:rsidR="00357D0D" w:rsidRPr="00357D0D">
        <w:rPr>
          <w:rFonts w:hint="eastAsia"/>
          <w:sz w:val="20"/>
          <w:szCs w:val="20"/>
          <w:vertAlign w:val="superscript"/>
          <w:lang w:eastAsia="zh-CN"/>
        </w:rPr>
        <w:t>,</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_Ref231913805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10</w:t>
      </w:r>
      <w:r w:rsidR="00357D0D" w:rsidRPr="00357D0D">
        <w:rPr>
          <w:sz w:val="20"/>
          <w:szCs w:val="20"/>
          <w:vertAlign w:val="superscript"/>
          <w:lang w:eastAsia="zh-CN"/>
        </w:rPr>
        <w:fldChar w:fldCharType="end"/>
      </w:r>
      <w:r w:rsidR="000553E6">
        <w:rPr>
          <w:rFonts w:hint="eastAsia"/>
          <w:sz w:val="20"/>
          <w:szCs w:val="20"/>
          <w:lang w:eastAsia="zh-CN"/>
        </w:rPr>
        <w:t xml:space="preserve"> </w:t>
      </w:r>
      <w:r w:rsidRPr="008D7185">
        <w:rPr>
          <w:sz w:val="20"/>
          <w:szCs w:val="20"/>
        </w:rPr>
        <w:t>and machine learning</w:t>
      </w:r>
      <w:r w:rsidR="00E16F15">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_Ref231913268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11</w:t>
      </w:r>
      <w:r w:rsidR="00357D0D" w:rsidRPr="00357D0D">
        <w:rPr>
          <w:sz w:val="20"/>
          <w:szCs w:val="20"/>
          <w:vertAlign w:val="superscript"/>
          <w:lang w:eastAsia="zh-CN"/>
        </w:rPr>
        <w:fldChar w:fldCharType="end"/>
      </w:r>
      <w:r w:rsidR="00357D0D">
        <w:rPr>
          <w:rFonts w:hint="eastAsia"/>
          <w:sz w:val="20"/>
          <w:szCs w:val="20"/>
          <w:vertAlign w:val="superscript"/>
          <w:lang w:eastAsia="zh-CN"/>
        </w:rPr>
        <w:t>,</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_Ref231913269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12</w:t>
      </w:r>
      <w:r w:rsidR="00357D0D" w:rsidRPr="00357D0D">
        <w:rPr>
          <w:sz w:val="20"/>
          <w:szCs w:val="20"/>
          <w:vertAlign w:val="superscript"/>
          <w:lang w:eastAsia="zh-CN"/>
        </w:rPr>
        <w:fldChar w:fldCharType="end"/>
      </w:r>
      <w:r w:rsidR="00357D0D">
        <w:rPr>
          <w:rFonts w:hint="eastAsia"/>
          <w:sz w:val="20"/>
          <w:szCs w:val="20"/>
          <w:lang w:eastAsia="zh-CN"/>
        </w:rPr>
        <w:t xml:space="preserve"> </w:t>
      </w:r>
      <w:r w:rsidRPr="008D7185">
        <w:rPr>
          <w:sz w:val="20"/>
          <w:szCs w:val="20"/>
        </w:rPr>
        <w:t>continue to enhance these systems, a new challenge has emerged. The use of high-power gyrotrons (e.g., 20 MW, 170 GHz)</w:t>
      </w:r>
      <w:r w:rsidR="00357D0D" w:rsidRPr="00357D0D">
        <w:rPr>
          <w:sz w:val="20"/>
          <w:szCs w:val="20"/>
          <w:vertAlign w:val="superscript"/>
        </w:rPr>
        <w:fldChar w:fldCharType="begin"/>
      </w:r>
      <w:r w:rsidR="00357D0D" w:rsidRPr="00357D0D">
        <w:rPr>
          <w:sz w:val="20"/>
          <w:szCs w:val="20"/>
          <w:vertAlign w:val="superscript"/>
        </w:rPr>
        <w:instrText xml:space="preserve"> REF _Ref231913305 \r \h </w:instrText>
      </w:r>
      <w:r w:rsidR="00357D0D">
        <w:rPr>
          <w:sz w:val="20"/>
          <w:szCs w:val="20"/>
          <w:vertAlign w:val="superscript"/>
        </w:rPr>
        <w:instrText xml:space="preserve"> \* MERGEFORMAT </w:instrText>
      </w:r>
      <w:r w:rsidR="00357D0D" w:rsidRPr="00357D0D">
        <w:rPr>
          <w:sz w:val="20"/>
          <w:szCs w:val="20"/>
          <w:vertAlign w:val="superscript"/>
        </w:rPr>
      </w:r>
      <w:r w:rsidR="00357D0D" w:rsidRPr="00357D0D">
        <w:rPr>
          <w:sz w:val="20"/>
          <w:szCs w:val="20"/>
          <w:vertAlign w:val="superscript"/>
        </w:rPr>
        <w:fldChar w:fldCharType="separate"/>
      </w:r>
      <w:r w:rsidR="00A85A9A">
        <w:rPr>
          <w:sz w:val="20"/>
          <w:szCs w:val="20"/>
          <w:vertAlign w:val="superscript"/>
        </w:rPr>
        <w:t>13</w:t>
      </w:r>
      <w:r w:rsidR="00357D0D" w:rsidRPr="00357D0D">
        <w:rPr>
          <w:sz w:val="20"/>
          <w:szCs w:val="20"/>
          <w:vertAlign w:val="superscript"/>
        </w:rPr>
        <w:fldChar w:fldCharType="end"/>
      </w:r>
      <w:r w:rsidR="00357D0D">
        <w:rPr>
          <w:rFonts w:hint="eastAsia"/>
          <w:sz w:val="20"/>
          <w:szCs w:val="20"/>
          <w:lang w:eastAsia="zh-CN"/>
        </w:rPr>
        <w:t xml:space="preserve"> </w:t>
      </w:r>
      <w:r w:rsidRPr="008D7185">
        <w:rPr>
          <w:sz w:val="20"/>
          <w:szCs w:val="20"/>
        </w:rPr>
        <w:t>in current experimental and next-generation burning plasma devices for auxiliary heating and current drive generates intense stray/dangerous radiation. This poses a severe risk to microwave diagnostics</w:t>
      </w:r>
      <w:r w:rsidR="00E330AF" w:rsidRPr="00E330AF">
        <w:rPr>
          <w:sz w:val="20"/>
          <w:szCs w:val="20"/>
          <w:vertAlign w:val="superscript"/>
        </w:rPr>
        <w:t>14</w:t>
      </w:r>
      <w:r w:rsidR="004B7EE4" w:rsidRPr="004B7EE4">
        <w:rPr>
          <w:sz w:val="20"/>
          <w:szCs w:val="20"/>
          <w:vertAlign w:val="superscript"/>
          <w:lang w:eastAsia="zh-CN"/>
        </w:rPr>
        <w:fldChar w:fldCharType="begin"/>
      </w:r>
      <w:r w:rsidR="004B7EE4" w:rsidRPr="004B7EE4">
        <w:rPr>
          <w:sz w:val="20"/>
          <w:szCs w:val="20"/>
          <w:vertAlign w:val="superscript"/>
          <w:lang w:eastAsia="zh-CN"/>
        </w:rPr>
        <w:instrText xml:space="preserve"> </w:instrText>
      </w:r>
      <w:r w:rsidR="004B7EE4" w:rsidRPr="004B7EE4">
        <w:rPr>
          <w:rFonts w:hint="eastAsia"/>
          <w:sz w:val="20"/>
          <w:szCs w:val="20"/>
          <w:vertAlign w:val="superscript"/>
          <w:lang w:eastAsia="zh-CN"/>
        </w:rPr>
        <w:instrText>REF _Ref231914652 \r \h</w:instrText>
      </w:r>
      <w:r w:rsidR="004B7EE4" w:rsidRPr="004B7EE4">
        <w:rPr>
          <w:sz w:val="20"/>
          <w:szCs w:val="20"/>
          <w:vertAlign w:val="superscript"/>
          <w:lang w:eastAsia="zh-CN"/>
        </w:rPr>
        <w:instrText xml:space="preserve"> </w:instrText>
      </w:r>
      <w:r w:rsidR="004B7EE4">
        <w:rPr>
          <w:sz w:val="20"/>
          <w:szCs w:val="20"/>
          <w:vertAlign w:val="superscript"/>
          <w:lang w:eastAsia="zh-CN"/>
        </w:rPr>
        <w:instrText xml:space="preserve"> \* MERGEFORMAT </w:instrText>
      </w:r>
      <w:r w:rsidR="004B7EE4" w:rsidRPr="004B7EE4">
        <w:rPr>
          <w:sz w:val="20"/>
          <w:szCs w:val="20"/>
          <w:vertAlign w:val="superscript"/>
          <w:lang w:eastAsia="zh-CN"/>
        </w:rPr>
      </w:r>
      <w:r w:rsidR="004B7EE4" w:rsidRPr="004B7EE4">
        <w:rPr>
          <w:sz w:val="20"/>
          <w:szCs w:val="20"/>
          <w:vertAlign w:val="superscript"/>
          <w:lang w:eastAsia="zh-CN"/>
        </w:rPr>
        <w:fldChar w:fldCharType="separate"/>
      </w:r>
      <w:r w:rsidR="004B7EE4" w:rsidRPr="004B7EE4">
        <w:rPr>
          <w:sz w:val="20"/>
          <w:szCs w:val="20"/>
          <w:vertAlign w:val="superscript"/>
          <w:lang w:eastAsia="zh-CN"/>
        </w:rPr>
        <w:fldChar w:fldCharType="end"/>
      </w:r>
      <w:r w:rsidR="004B7EE4" w:rsidRPr="004B7EE4">
        <w:rPr>
          <w:rFonts w:hint="eastAsia"/>
          <w:sz w:val="20"/>
          <w:szCs w:val="20"/>
          <w:vertAlign w:val="superscript"/>
          <w:lang w:eastAsia="zh-CN"/>
        </w:rPr>
        <w:t>,</w:t>
      </w:r>
      <w:r w:rsidR="005A058C" w:rsidRPr="004B7EE4">
        <w:rPr>
          <w:sz w:val="20"/>
          <w:szCs w:val="20"/>
          <w:vertAlign w:val="superscript"/>
          <w:lang w:eastAsia="zh-CN"/>
        </w:rPr>
        <w:fldChar w:fldCharType="begin"/>
      </w:r>
      <w:r w:rsidR="005A058C" w:rsidRPr="004B7EE4">
        <w:rPr>
          <w:sz w:val="20"/>
          <w:szCs w:val="20"/>
          <w:vertAlign w:val="superscript"/>
          <w:lang w:eastAsia="zh-CN"/>
        </w:rPr>
        <w:instrText xml:space="preserve"> </w:instrText>
      </w:r>
      <w:r w:rsidR="005A058C" w:rsidRPr="004B7EE4">
        <w:rPr>
          <w:rFonts w:hint="eastAsia"/>
          <w:sz w:val="20"/>
          <w:szCs w:val="20"/>
          <w:vertAlign w:val="superscript"/>
          <w:lang w:eastAsia="zh-CN"/>
        </w:rPr>
        <w:instrText>REF _Ref231914040 \r \h</w:instrText>
      </w:r>
      <w:r w:rsidR="005A058C" w:rsidRPr="004B7EE4">
        <w:rPr>
          <w:sz w:val="20"/>
          <w:szCs w:val="20"/>
          <w:vertAlign w:val="superscript"/>
          <w:lang w:eastAsia="zh-CN"/>
        </w:rPr>
        <w:instrText xml:space="preserve">  \* MERGEFORMAT </w:instrText>
      </w:r>
      <w:r w:rsidR="005A058C" w:rsidRPr="004B7EE4">
        <w:rPr>
          <w:sz w:val="20"/>
          <w:szCs w:val="20"/>
          <w:vertAlign w:val="superscript"/>
          <w:lang w:eastAsia="zh-CN"/>
        </w:rPr>
      </w:r>
      <w:r w:rsidR="005A058C" w:rsidRPr="004B7EE4">
        <w:rPr>
          <w:sz w:val="20"/>
          <w:szCs w:val="20"/>
          <w:vertAlign w:val="superscript"/>
          <w:lang w:eastAsia="zh-CN"/>
        </w:rPr>
        <w:fldChar w:fldCharType="separate"/>
      </w:r>
      <w:r w:rsidR="00A85A9A">
        <w:rPr>
          <w:sz w:val="20"/>
          <w:szCs w:val="20"/>
          <w:vertAlign w:val="superscript"/>
          <w:lang w:eastAsia="zh-CN"/>
        </w:rPr>
        <w:t>15</w:t>
      </w:r>
      <w:r w:rsidR="005A058C" w:rsidRPr="004B7EE4">
        <w:rPr>
          <w:sz w:val="20"/>
          <w:szCs w:val="20"/>
          <w:vertAlign w:val="superscript"/>
          <w:lang w:eastAsia="zh-CN"/>
        </w:rPr>
        <w:fldChar w:fldCharType="end"/>
      </w:r>
      <w:r w:rsidR="005A058C" w:rsidRPr="004B7EE4">
        <w:rPr>
          <w:rFonts w:hint="eastAsia"/>
          <w:sz w:val="20"/>
          <w:szCs w:val="20"/>
          <w:vertAlign w:val="superscript"/>
          <w:lang w:eastAsia="zh-CN"/>
        </w:rPr>
        <w:t>,</w:t>
      </w:r>
      <w:r w:rsidR="005A058C" w:rsidRPr="004B7EE4">
        <w:rPr>
          <w:sz w:val="20"/>
          <w:szCs w:val="20"/>
          <w:vertAlign w:val="superscript"/>
          <w:lang w:eastAsia="zh-CN"/>
        </w:rPr>
        <w:fldChar w:fldCharType="begin"/>
      </w:r>
      <w:r w:rsidR="005A058C" w:rsidRPr="004B7EE4">
        <w:rPr>
          <w:sz w:val="20"/>
          <w:szCs w:val="20"/>
          <w:vertAlign w:val="superscript"/>
          <w:lang w:eastAsia="zh-CN"/>
        </w:rPr>
        <w:instrText xml:space="preserve"> REF _Ref231914042 \r \h  \* MERGEFORMAT </w:instrText>
      </w:r>
      <w:r w:rsidR="005A058C" w:rsidRPr="004B7EE4">
        <w:rPr>
          <w:sz w:val="20"/>
          <w:szCs w:val="20"/>
          <w:vertAlign w:val="superscript"/>
          <w:lang w:eastAsia="zh-CN"/>
        </w:rPr>
      </w:r>
      <w:r w:rsidR="005A058C" w:rsidRPr="004B7EE4">
        <w:rPr>
          <w:sz w:val="20"/>
          <w:szCs w:val="20"/>
          <w:vertAlign w:val="superscript"/>
          <w:lang w:eastAsia="zh-CN"/>
        </w:rPr>
        <w:fldChar w:fldCharType="separate"/>
      </w:r>
      <w:r w:rsidR="00A85A9A">
        <w:rPr>
          <w:sz w:val="20"/>
          <w:szCs w:val="20"/>
          <w:vertAlign w:val="superscript"/>
          <w:lang w:eastAsia="zh-CN"/>
        </w:rPr>
        <w:t>16</w:t>
      </w:r>
      <w:r w:rsidR="005A058C" w:rsidRPr="004B7EE4">
        <w:rPr>
          <w:sz w:val="20"/>
          <w:szCs w:val="20"/>
          <w:vertAlign w:val="superscript"/>
          <w:lang w:eastAsia="zh-CN"/>
        </w:rPr>
        <w:fldChar w:fldCharType="end"/>
      </w:r>
      <w:r w:rsidR="005A058C">
        <w:rPr>
          <w:rFonts w:hint="eastAsia"/>
          <w:sz w:val="20"/>
          <w:szCs w:val="20"/>
          <w:lang w:eastAsia="zh-CN"/>
        </w:rPr>
        <w:t>,</w:t>
      </w:r>
      <w:r w:rsidR="008E6874">
        <w:rPr>
          <w:rFonts w:hint="eastAsia"/>
          <w:sz w:val="20"/>
          <w:szCs w:val="20"/>
          <w:lang w:eastAsia="zh-CN"/>
        </w:rPr>
        <w:t xml:space="preserve"> </w:t>
      </w:r>
      <w:r w:rsidRPr="008D7185">
        <w:rPr>
          <w:sz w:val="20"/>
          <w:szCs w:val="20"/>
        </w:rPr>
        <w:t xml:space="preserve">where </w:t>
      </w:r>
      <w:r w:rsidR="00086623" w:rsidRPr="00086623">
        <w:rPr>
          <w:sz w:val="20"/>
          <w:szCs w:val="20"/>
        </w:rPr>
        <w:t>electron cyclotron heating (ECH)</w:t>
      </w:r>
      <w:r w:rsidR="005A058C" w:rsidRPr="005A058C">
        <w:rPr>
          <w:sz w:val="20"/>
          <w:szCs w:val="20"/>
          <w:vertAlign w:val="superscript"/>
        </w:rPr>
        <w:fldChar w:fldCharType="begin"/>
      </w:r>
      <w:r w:rsidR="005A058C" w:rsidRPr="005A058C">
        <w:rPr>
          <w:sz w:val="20"/>
          <w:szCs w:val="20"/>
          <w:vertAlign w:val="superscript"/>
        </w:rPr>
        <w:instrText xml:space="preserve"> REF _Ref231914499 \r \h </w:instrText>
      </w:r>
      <w:r w:rsidR="005A058C">
        <w:rPr>
          <w:sz w:val="20"/>
          <w:szCs w:val="20"/>
          <w:vertAlign w:val="superscript"/>
        </w:rPr>
        <w:instrText xml:space="preserve"> \* MERGEFORMAT </w:instrText>
      </w:r>
      <w:r w:rsidR="005A058C" w:rsidRPr="005A058C">
        <w:rPr>
          <w:sz w:val="20"/>
          <w:szCs w:val="20"/>
          <w:vertAlign w:val="superscript"/>
        </w:rPr>
      </w:r>
      <w:r w:rsidR="005A058C" w:rsidRPr="005A058C">
        <w:rPr>
          <w:sz w:val="20"/>
          <w:szCs w:val="20"/>
          <w:vertAlign w:val="superscript"/>
        </w:rPr>
        <w:fldChar w:fldCharType="separate"/>
      </w:r>
      <w:r w:rsidR="00A85A9A">
        <w:rPr>
          <w:sz w:val="20"/>
          <w:szCs w:val="20"/>
          <w:vertAlign w:val="superscript"/>
        </w:rPr>
        <w:t>17</w:t>
      </w:r>
      <w:r w:rsidR="005A058C" w:rsidRPr="005A058C">
        <w:rPr>
          <w:sz w:val="20"/>
          <w:szCs w:val="20"/>
          <w:vertAlign w:val="superscript"/>
        </w:rPr>
        <w:fldChar w:fldCharType="end"/>
      </w:r>
      <w:r w:rsidR="00086623" w:rsidRPr="005A058C">
        <w:rPr>
          <w:sz w:val="20"/>
          <w:szCs w:val="20"/>
          <w:vertAlign w:val="superscript"/>
        </w:rPr>
        <w:t xml:space="preserve"> </w:t>
      </w:r>
      <w:r w:rsidR="00086623" w:rsidRPr="008D7185">
        <w:rPr>
          <w:sz w:val="20"/>
          <w:szCs w:val="20"/>
        </w:rPr>
        <w:t>can</w:t>
      </w:r>
      <w:r w:rsidRPr="008D7185">
        <w:rPr>
          <w:sz w:val="20"/>
          <w:szCs w:val="20"/>
        </w:rPr>
        <w:t xml:space="preserve"> easily damage </w:t>
      </w:r>
      <w:r w:rsidR="008E6874">
        <w:rPr>
          <w:rFonts w:hint="eastAsia"/>
          <w:sz w:val="20"/>
          <w:szCs w:val="20"/>
          <w:lang w:eastAsia="zh-CN"/>
        </w:rPr>
        <w:t xml:space="preserve">sensitive </w:t>
      </w:r>
      <w:r w:rsidRPr="008D7185">
        <w:rPr>
          <w:sz w:val="20"/>
          <w:szCs w:val="20"/>
        </w:rPr>
        <w:t xml:space="preserve">detectors, as shown in Fig. 1. To mitigate this, the development of a 170 GHz microwave notch filter is urgently required. The successful design and development of filters for </w:t>
      </w:r>
      <w:r w:rsidR="00E16F15">
        <w:rPr>
          <w:rFonts w:hint="eastAsia"/>
          <w:sz w:val="20"/>
          <w:szCs w:val="20"/>
          <w:lang w:eastAsia="zh-CN"/>
        </w:rPr>
        <w:t>60 GHz</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_Ref231913323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18</w:t>
      </w:r>
      <w:r w:rsidR="00357D0D" w:rsidRPr="00357D0D">
        <w:rPr>
          <w:sz w:val="20"/>
          <w:szCs w:val="20"/>
          <w:vertAlign w:val="superscript"/>
          <w:lang w:eastAsia="zh-CN"/>
        </w:rPr>
        <w:fldChar w:fldCharType="end"/>
      </w:r>
      <w:r w:rsidR="00E16F15">
        <w:rPr>
          <w:rFonts w:hint="eastAsia"/>
          <w:sz w:val="20"/>
          <w:szCs w:val="20"/>
          <w:lang w:eastAsia="zh-CN"/>
        </w:rPr>
        <w:t xml:space="preserve">, </w:t>
      </w:r>
      <w:r w:rsidRPr="008D7185">
        <w:rPr>
          <w:sz w:val="20"/>
          <w:szCs w:val="20"/>
        </w:rPr>
        <w:t>105 GHz</w:t>
      </w:r>
      <w:r w:rsidR="00E16F15">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_Ref231913330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19</w:t>
      </w:r>
      <w:r w:rsidR="00357D0D" w:rsidRPr="00357D0D">
        <w:rPr>
          <w:sz w:val="20"/>
          <w:szCs w:val="20"/>
          <w:vertAlign w:val="superscript"/>
          <w:lang w:eastAsia="zh-CN"/>
        </w:rPr>
        <w:fldChar w:fldCharType="end"/>
      </w:r>
      <w:r w:rsidRPr="008D7185">
        <w:rPr>
          <w:sz w:val="20"/>
          <w:szCs w:val="20"/>
        </w:rPr>
        <w:t>, 110 GHz, 117.5 GHz, and 140 GHz</w:t>
      </w:r>
      <w:r w:rsidR="00357D0D" w:rsidRPr="00357D0D">
        <w:rPr>
          <w:sz w:val="20"/>
          <w:szCs w:val="20"/>
          <w:vertAlign w:val="superscript"/>
        </w:rPr>
        <w:fldChar w:fldCharType="begin"/>
      </w:r>
      <w:r w:rsidR="00357D0D" w:rsidRPr="00357D0D">
        <w:rPr>
          <w:sz w:val="20"/>
          <w:szCs w:val="20"/>
          <w:vertAlign w:val="superscript"/>
        </w:rPr>
        <w:instrText xml:space="preserve"> REF _Ref231913345 \r \h </w:instrText>
      </w:r>
      <w:r w:rsidR="00357D0D">
        <w:rPr>
          <w:sz w:val="20"/>
          <w:szCs w:val="20"/>
          <w:vertAlign w:val="superscript"/>
        </w:rPr>
        <w:instrText xml:space="preserve"> \* MERGEFORMAT </w:instrText>
      </w:r>
      <w:r w:rsidR="00357D0D" w:rsidRPr="00357D0D">
        <w:rPr>
          <w:sz w:val="20"/>
          <w:szCs w:val="20"/>
          <w:vertAlign w:val="superscript"/>
        </w:rPr>
      </w:r>
      <w:r w:rsidR="00357D0D" w:rsidRPr="00357D0D">
        <w:rPr>
          <w:sz w:val="20"/>
          <w:szCs w:val="20"/>
          <w:vertAlign w:val="superscript"/>
        </w:rPr>
        <w:fldChar w:fldCharType="separate"/>
      </w:r>
      <w:r w:rsidR="00A85A9A">
        <w:rPr>
          <w:sz w:val="20"/>
          <w:szCs w:val="20"/>
          <w:vertAlign w:val="superscript"/>
        </w:rPr>
        <w:t>20</w:t>
      </w:r>
      <w:r w:rsidR="00357D0D" w:rsidRPr="00357D0D">
        <w:rPr>
          <w:sz w:val="20"/>
          <w:szCs w:val="20"/>
          <w:vertAlign w:val="superscript"/>
        </w:rPr>
        <w:fldChar w:fldCharType="end"/>
      </w:r>
      <w:r w:rsidR="00357D0D">
        <w:rPr>
          <w:rFonts w:hint="eastAsia"/>
          <w:sz w:val="20"/>
          <w:szCs w:val="20"/>
          <w:vertAlign w:val="superscript"/>
          <w:lang w:eastAsia="zh-CN"/>
        </w:rPr>
        <w:t>,</w:t>
      </w:r>
      <w:r w:rsidR="00357D0D" w:rsidRPr="00357D0D">
        <w:rPr>
          <w:sz w:val="20"/>
          <w:szCs w:val="20"/>
          <w:vertAlign w:val="superscript"/>
        </w:rPr>
        <w:fldChar w:fldCharType="begin"/>
      </w:r>
      <w:r w:rsidR="00357D0D" w:rsidRPr="00357D0D">
        <w:rPr>
          <w:sz w:val="20"/>
          <w:szCs w:val="20"/>
          <w:vertAlign w:val="superscript"/>
        </w:rPr>
        <w:instrText xml:space="preserve"> REF _Ref231913347 \r \h </w:instrText>
      </w:r>
      <w:r w:rsidR="00357D0D">
        <w:rPr>
          <w:sz w:val="20"/>
          <w:szCs w:val="20"/>
          <w:vertAlign w:val="superscript"/>
        </w:rPr>
        <w:instrText xml:space="preserve"> \* MERGEFORMAT </w:instrText>
      </w:r>
      <w:r w:rsidR="00357D0D" w:rsidRPr="00357D0D">
        <w:rPr>
          <w:sz w:val="20"/>
          <w:szCs w:val="20"/>
          <w:vertAlign w:val="superscript"/>
        </w:rPr>
      </w:r>
      <w:r w:rsidR="00357D0D" w:rsidRPr="00357D0D">
        <w:rPr>
          <w:sz w:val="20"/>
          <w:szCs w:val="20"/>
          <w:vertAlign w:val="superscript"/>
        </w:rPr>
        <w:fldChar w:fldCharType="separate"/>
      </w:r>
      <w:r w:rsidR="00A85A9A">
        <w:rPr>
          <w:sz w:val="20"/>
          <w:szCs w:val="20"/>
          <w:vertAlign w:val="superscript"/>
        </w:rPr>
        <w:t>21</w:t>
      </w:r>
      <w:r w:rsidR="00357D0D" w:rsidRPr="00357D0D">
        <w:rPr>
          <w:sz w:val="20"/>
          <w:szCs w:val="20"/>
          <w:vertAlign w:val="superscript"/>
        </w:rPr>
        <w:fldChar w:fldCharType="end"/>
      </w:r>
      <w:r w:rsidRPr="008D7185">
        <w:rPr>
          <w:sz w:val="20"/>
          <w:szCs w:val="20"/>
        </w:rPr>
        <w:t>applications provide a strong foundation for this challeng</w:t>
      </w:r>
      <w:r w:rsidR="008E6874">
        <w:rPr>
          <w:rFonts w:hint="eastAsia"/>
          <w:sz w:val="20"/>
          <w:szCs w:val="20"/>
          <w:lang w:eastAsia="zh-CN"/>
        </w:rPr>
        <w:t>ing</w:t>
      </w:r>
      <w:r w:rsidRPr="008D7185">
        <w:rPr>
          <w:sz w:val="20"/>
          <w:szCs w:val="20"/>
        </w:rPr>
        <w:t xml:space="preserve"> task.</w:t>
      </w:r>
    </w:p>
    <w:p w14:paraId="1080A69F" w14:textId="6C65D7BD" w:rsidR="0067457F" w:rsidRDefault="00EA3B53" w:rsidP="00776757">
      <w:pPr>
        <w:pStyle w:val="NormalWeb"/>
        <w:shd w:val="clear" w:color="auto" w:fill="FFFFFF"/>
        <w:spacing w:before="120" w:beforeAutospacing="0" w:after="120" w:afterAutospacing="0"/>
        <w:ind w:firstLine="360"/>
        <w:jc w:val="both"/>
        <w:rPr>
          <w:sz w:val="20"/>
          <w:szCs w:val="20"/>
          <w:lang w:eastAsia="zh-CN"/>
        </w:rPr>
      </w:pPr>
      <w:r w:rsidRPr="00C205A6">
        <w:rPr>
          <w:rFonts w:ascii="Arial" w:hAnsi="Arial" w:cs="Arial"/>
          <w:b/>
          <w:bCs/>
          <w:noProof/>
          <w:sz w:val="20"/>
          <w:szCs w:val="20"/>
        </w:rPr>
        <mc:AlternateContent>
          <mc:Choice Requires="wps">
            <w:drawing>
              <wp:anchor distT="0" distB="0" distL="114300" distR="114300" simplePos="0" relativeHeight="251657728" behindDoc="0" locked="0" layoutInCell="1" allowOverlap="1" wp14:anchorId="77B01522" wp14:editId="24DE3B57">
                <wp:simplePos x="0" y="0"/>
                <wp:positionH relativeFrom="column">
                  <wp:posOffset>-78740</wp:posOffset>
                </wp:positionH>
                <wp:positionV relativeFrom="paragraph">
                  <wp:posOffset>1111245</wp:posOffset>
                </wp:positionV>
                <wp:extent cx="3171825" cy="381000"/>
                <wp:effectExtent l="0" t="0" r="0" b="0"/>
                <wp:wrapSquare wrapText="bothSides"/>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3810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5873207" w14:textId="1C48BB07" w:rsidR="0067457F" w:rsidRDefault="004E75B3" w:rsidP="0067457F">
                            <w:pPr>
                              <w:rPr>
                                <w:sz w:val="16"/>
                                <w:szCs w:val="16"/>
                                <w:lang w:eastAsia="zh-CN"/>
                              </w:rPr>
                            </w:pPr>
                            <w:proofErr w:type="gramStart"/>
                            <w:r>
                              <w:rPr>
                                <w:sz w:val="16"/>
                                <w:szCs w:val="16"/>
                                <w:vertAlign w:val="superscript"/>
                              </w:rPr>
                              <w:t>a</w:t>
                            </w:r>
                            <w:r w:rsidR="0067457F" w:rsidRPr="0037625F">
                              <w:rPr>
                                <w:sz w:val="16"/>
                                <w:szCs w:val="16"/>
                                <w:vertAlign w:val="superscript"/>
                              </w:rPr>
                              <w:t>)</w:t>
                            </w:r>
                            <w:r w:rsidR="0067457F" w:rsidRPr="0037625F">
                              <w:rPr>
                                <w:sz w:val="16"/>
                                <w:szCs w:val="16"/>
                              </w:rPr>
                              <w:t>Author</w:t>
                            </w:r>
                            <w:proofErr w:type="gramEnd"/>
                            <w:r w:rsidR="0067457F" w:rsidRPr="0037625F">
                              <w:rPr>
                                <w:sz w:val="16"/>
                                <w:szCs w:val="16"/>
                              </w:rPr>
                              <w:t xml:space="preserve"> to whom correspondence should be addressed:</w:t>
                            </w:r>
                            <w:r w:rsidR="00674E96">
                              <w:rPr>
                                <w:sz w:val="16"/>
                                <w:szCs w:val="16"/>
                              </w:rPr>
                              <w:t xml:space="preserve"> </w:t>
                            </w:r>
                            <w:r w:rsidR="008D7185">
                              <w:rPr>
                                <w:rFonts w:hint="eastAsia"/>
                                <w:sz w:val="16"/>
                                <w:szCs w:val="16"/>
                                <w:lang w:eastAsia="zh-CN"/>
                              </w:rPr>
                              <w:t xml:space="preserve"> Li_Xiaoliang@a-star.ed.sg </w:t>
                            </w:r>
                          </w:p>
                          <w:p w14:paraId="46DC0341" w14:textId="363F7659" w:rsidR="00866357" w:rsidRPr="0037625F" w:rsidRDefault="00866357" w:rsidP="0067457F">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01522" id="_x0000_t202" coordsize="21600,21600" o:spt="202" path="m,l,21600r21600,l21600,xe">
                <v:stroke joinstyle="miter"/>
                <v:path gradientshapeok="t" o:connecttype="rect"/>
              </v:shapetype>
              <v:shape id="Text Box 4" o:spid="_x0000_s1026" type="#_x0000_t202" style="position:absolute;left:0;text-align:left;margin-left:-6.2pt;margin-top:87.5pt;width:249.75pt;height:3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" filled="f" stroked="f">
                <v:textbox>
                  <w:txbxContent>
                    <w:p w14:paraId="45873207" w14:textId="1C48BB07" w:rsidR="0067457F" w:rsidRDefault="004E75B3" w:rsidP="0067457F">
                      <w:pPr>
                        <w:rPr>
                          <w:rFonts w:hint="eastAsia"/>
                          <w:sz w:val="16"/>
                          <w:szCs w:val="16"/>
                          <w:lang w:eastAsia="zh-CN"/>
                        </w:rPr>
                      </w:pPr>
                      <w:r>
                        <w:rPr>
                          <w:sz w:val="16"/>
                          <w:szCs w:val="16"/>
                          <w:vertAlign w:val="superscript"/>
                        </w:rPr>
                        <w:t>a</w:t>
                      </w:r>
                      <w:r w:rsidR="0067457F" w:rsidRPr="0037625F">
                        <w:rPr>
                          <w:sz w:val="16"/>
                          <w:szCs w:val="16"/>
                          <w:vertAlign w:val="superscript"/>
                        </w:rPr>
                        <w:t>)</w:t>
                      </w:r>
                      <w:r w:rsidR="0067457F" w:rsidRPr="0037625F">
                        <w:rPr>
                          <w:sz w:val="16"/>
                          <w:szCs w:val="16"/>
                        </w:rPr>
                        <w:t>Author to whom correspondence should be addressed:</w:t>
                      </w:r>
                      <w:r w:rsidR="00674E96">
                        <w:rPr>
                          <w:sz w:val="16"/>
                          <w:szCs w:val="16"/>
                        </w:rPr>
                        <w:t xml:space="preserve"> </w:t>
                      </w:r>
                      <w:r w:rsidR="008D7185">
                        <w:rPr>
                          <w:rFonts w:hint="eastAsia"/>
                          <w:sz w:val="16"/>
                          <w:szCs w:val="16"/>
                          <w:lang w:eastAsia="zh-CN"/>
                        </w:rPr>
                        <w:t xml:space="preserve"> Li_Xiaoliang@a-star.ed.sg </w:t>
                      </w:r>
                    </w:p>
                    <w:p w14:paraId="46DC0341" w14:textId="363F7659" w:rsidR="00866357" w:rsidRPr="0037625F" w:rsidRDefault="00866357" w:rsidP="0067457F">
                      <w:pPr>
                        <w:rPr>
                          <w:sz w:val="16"/>
                          <w:szCs w:val="16"/>
                        </w:rPr>
                      </w:pPr>
                    </w:p>
                  </w:txbxContent>
                </v:textbox>
                <w10:wrap type="square"/>
              </v:shape>
            </w:pict>
          </mc:Fallback>
        </mc:AlternateContent>
      </w:r>
      <w:r w:rsidR="008D7185" w:rsidRPr="008D7185">
        <w:t xml:space="preserve"> </w:t>
      </w:r>
      <w:r w:rsidR="008D7185" w:rsidRPr="008D7185">
        <w:rPr>
          <w:sz w:val="20"/>
          <w:szCs w:val="20"/>
        </w:rPr>
        <w:t>The two predominant methodologies for millimeter-wave notch filters are the waveguide-based resonant cavity design and the planar Frequency Selective Surface (FSS)</w:t>
      </w:r>
      <w:r w:rsidR="00357D0D" w:rsidRPr="00357D0D">
        <w:rPr>
          <w:sz w:val="20"/>
          <w:szCs w:val="20"/>
          <w:vertAlign w:val="superscript"/>
        </w:rPr>
        <w:fldChar w:fldCharType="begin"/>
      </w:r>
      <w:r w:rsidR="00357D0D" w:rsidRPr="00357D0D">
        <w:rPr>
          <w:sz w:val="20"/>
          <w:szCs w:val="20"/>
          <w:vertAlign w:val="superscript"/>
        </w:rPr>
        <w:instrText xml:space="preserve"> REF _Ref231913422 \r \h </w:instrText>
      </w:r>
      <w:r w:rsidR="00357D0D">
        <w:rPr>
          <w:sz w:val="20"/>
          <w:szCs w:val="20"/>
          <w:vertAlign w:val="superscript"/>
        </w:rPr>
        <w:instrText xml:space="preserve"> \* MERGEFORMAT </w:instrText>
      </w:r>
      <w:r w:rsidR="00357D0D" w:rsidRPr="00357D0D">
        <w:rPr>
          <w:sz w:val="20"/>
          <w:szCs w:val="20"/>
          <w:vertAlign w:val="superscript"/>
        </w:rPr>
      </w:r>
      <w:r w:rsidR="00357D0D" w:rsidRPr="00357D0D">
        <w:rPr>
          <w:sz w:val="20"/>
          <w:szCs w:val="20"/>
          <w:vertAlign w:val="superscript"/>
        </w:rPr>
        <w:fldChar w:fldCharType="separate"/>
      </w:r>
      <w:r w:rsidR="00A85A9A">
        <w:rPr>
          <w:sz w:val="20"/>
          <w:szCs w:val="20"/>
          <w:vertAlign w:val="superscript"/>
        </w:rPr>
        <w:t>22</w:t>
      </w:r>
      <w:r w:rsidR="00357D0D" w:rsidRPr="00357D0D">
        <w:rPr>
          <w:sz w:val="20"/>
          <w:szCs w:val="20"/>
          <w:vertAlign w:val="superscript"/>
        </w:rPr>
        <w:fldChar w:fldCharType="end"/>
      </w:r>
      <w:r w:rsidR="008D7185" w:rsidRPr="00357D0D">
        <w:rPr>
          <w:sz w:val="20"/>
          <w:szCs w:val="20"/>
          <w:vertAlign w:val="superscript"/>
        </w:rPr>
        <w:t xml:space="preserve"> </w:t>
      </w:r>
      <w:r w:rsidR="00357D0D">
        <w:rPr>
          <w:rFonts w:hint="eastAsia"/>
          <w:sz w:val="20"/>
          <w:szCs w:val="20"/>
          <w:lang w:eastAsia="zh-CN"/>
        </w:rPr>
        <w:t xml:space="preserve"> </w:t>
      </w:r>
      <w:r w:rsidR="008D7185" w:rsidRPr="008D7185">
        <w:rPr>
          <w:sz w:val="20"/>
          <w:szCs w:val="20"/>
        </w:rPr>
        <w:t xml:space="preserve">approach, each with distinct advantages and disadvantages dictated by their fundamental structures. Waveguide filters, </w:t>
      </w:r>
      <w:r w:rsidR="008D7185" w:rsidRPr="008D7185">
        <w:rPr>
          <w:sz w:val="20"/>
          <w:szCs w:val="20"/>
        </w:rPr>
        <w:t>as successfully deployed in fusion devices like W7-X for 140 GHz protection</w:t>
      </w:r>
      <w:r w:rsidR="00357D0D">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rPr>
        <w:instrText xml:space="preserve"> REF _Ref231913347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rPr>
        <w:t>21</w:t>
      </w:r>
      <w:r w:rsidR="00357D0D" w:rsidRPr="00357D0D">
        <w:rPr>
          <w:sz w:val="20"/>
          <w:szCs w:val="20"/>
          <w:vertAlign w:val="superscript"/>
          <w:lang w:eastAsia="zh-CN"/>
        </w:rPr>
        <w:fldChar w:fldCharType="end"/>
      </w:r>
      <w:r w:rsidR="008D7185" w:rsidRPr="008D7185">
        <w:rPr>
          <w:sz w:val="20"/>
          <w:szCs w:val="20"/>
        </w:rPr>
        <w:t>, offer superior performance in high-power environments; their key advantages include very deep rejection (&gt; 60 dB), extremely narrow stopbands (enabling precise frequency targeting), high power handling capacity, and excellent structural integrity. However, these advantages come with the disadvantages of a larger, heavier mechanical assembly, a more precise fabrication process requiring precision machining, and a fundamental operational bandwidth limited by the waveguide's cutoff frequency.</w:t>
      </w:r>
    </w:p>
    <w:p w14:paraId="79A178E8" w14:textId="42A85A3C" w:rsidR="00F7555B" w:rsidRDefault="00F7555B" w:rsidP="00776757">
      <w:pPr>
        <w:pStyle w:val="NormalWeb"/>
        <w:shd w:val="clear" w:color="auto" w:fill="FFFFFF"/>
        <w:spacing w:before="120" w:beforeAutospacing="0" w:after="120" w:afterAutospacing="0"/>
        <w:jc w:val="both"/>
        <w:rPr>
          <w:sz w:val="20"/>
          <w:szCs w:val="20"/>
          <w:lang w:eastAsia="zh-CN"/>
        </w:rPr>
      </w:pPr>
      <w:r>
        <w:rPr>
          <w:noProof/>
        </w:rPr>
        <w:drawing>
          <wp:inline distT="114300" distB="114300" distL="114300" distR="114300" wp14:anchorId="4F9A96AC" wp14:editId="4096624F">
            <wp:extent cx="3017520" cy="2128425"/>
            <wp:effectExtent l="0" t="0" r="5080" b="5715"/>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017520" cy="2128425"/>
                    </a:xfrm>
                    <a:prstGeom prst="rect">
                      <a:avLst/>
                    </a:prstGeom>
                    <a:ln/>
                  </pic:spPr>
                </pic:pic>
              </a:graphicData>
            </a:graphic>
          </wp:inline>
        </w:drawing>
      </w:r>
    </w:p>
    <w:p w14:paraId="2E0D6115" w14:textId="32E7F7BE" w:rsidR="00F7555B" w:rsidRPr="00F7555B" w:rsidRDefault="00F7555B" w:rsidP="00776757">
      <w:pPr>
        <w:spacing w:before="120" w:after="120"/>
        <w:jc w:val="both"/>
        <w:rPr>
          <w:sz w:val="16"/>
          <w:szCs w:val="16"/>
          <w:lang w:eastAsia="zh-CN"/>
        </w:rPr>
      </w:pPr>
      <w:r w:rsidRPr="0037625F">
        <w:rPr>
          <w:sz w:val="16"/>
          <w:szCs w:val="16"/>
        </w:rPr>
        <w:t xml:space="preserve">FIG. </w:t>
      </w:r>
      <w:r>
        <w:rPr>
          <w:sz w:val="16"/>
          <w:szCs w:val="16"/>
        </w:rPr>
        <w:t>1</w:t>
      </w:r>
      <w:r w:rsidRPr="0037625F">
        <w:rPr>
          <w:sz w:val="16"/>
          <w:szCs w:val="16"/>
        </w:rPr>
        <w:t xml:space="preserve">. </w:t>
      </w:r>
      <w:r w:rsidRPr="00F7555B">
        <w:rPr>
          <w:sz w:val="16"/>
          <w:szCs w:val="16"/>
        </w:rPr>
        <w:t xml:space="preserve">ECH Reflection Hazard. An unexpected electron cyclotron heating (ECH) reflection beam entering the millimeter-wave receiver can mix with diagnostic signals. </w:t>
      </w:r>
      <w:proofErr w:type="gramStart"/>
      <w:r w:rsidRPr="00F7555B">
        <w:rPr>
          <w:sz w:val="16"/>
          <w:szCs w:val="16"/>
        </w:rPr>
        <w:t>Th</w:t>
      </w:r>
      <w:r w:rsidR="00086623">
        <w:rPr>
          <w:rFonts w:hint="eastAsia"/>
          <w:sz w:val="16"/>
          <w:szCs w:val="16"/>
          <w:lang w:eastAsia="zh-CN"/>
        </w:rPr>
        <w:t>is</w:t>
      </w:r>
      <w:r w:rsidR="00E330AF">
        <w:rPr>
          <w:sz w:val="16"/>
          <w:szCs w:val="16"/>
        </w:rPr>
        <w:t xml:space="preserve"> </w:t>
      </w:r>
      <w:r w:rsidRPr="00F7555B">
        <w:rPr>
          <w:sz w:val="16"/>
          <w:szCs w:val="16"/>
        </w:rPr>
        <w:t>risks</w:t>
      </w:r>
      <w:proofErr w:type="gramEnd"/>
      <w:r w:rsidRPr="00F7555B">
        <w:rPr>
          <w:sz w:val="16"/>
          <w:szCs w:val="16"/>
        </w:rPr>
        <w:t xml:space="preserve"> saturating the signal or permanently damaging the receiver module through power overload. The 170 GHz </w:t>
      </w:r>
      <w:r w:rsidRPr="00F7555B">
        <w:rPr>
          <w:sz w:val="16"/>
          <w:szCs w:val="16"/>
        </w:rPr>
        <w:lastRenderedPageBreak/>
        <w:t>ENOCH notch filter is essential for all millimeter-wave diagnostics on the burning plasma device</w:t>
      </w:r>
      <w:r w:rsidRPr="0037625F">
        <w:rPr>
          <w:sz w:val="16"/>
          <w:szCs w:val="16"/>
        </w:rPr>
        <w:t>.</w:t>
      </w:r>
    </w:p>
    <w:p w14:paraId="3AB815A2" w14:textId="5179E7C6" w:rsidR="008D7185" w:rsidRPr="008D7185" w:rsidRDefault="008D7185" w:rsidP="00776757">
      <w:pPr>
        <w:pStyle w:val="NormalWeb"/>
        <w:shd w:val="clear" w:color="auto" w:fill="FFFFFF"/>
        <w:spacing w:before="120" w:beforeAutospacing="0" w:after="120" w:afterAutospacing="0"/>
        <w:ind w:firstLine="360"/>
        <w:jc w:val="both"/>
        <w:rPr>
          <w:sz w:val="20"/>
          <w:szCs w:val="20"/>
          <w:lang w:eastAsia="zh-CN"/>
        </w:rPr>
      </w:pPr>
      <w:r w:rsidRPr="008D7185">
        <w:rPr>
          <w:sz w:val="20"/>
          <w:szCs w:val="20"/>
          <w:lang w:eastAsia="zh-CN"/>
        </w:rPr>
        <w:t xml:space="preserve">In contrast, planar FSS filters are lightweight, low-profile, and amenable to cost-efficient fabrication techniques like photolithography, making them ideal for integrating into quasi-optical systems or imaging arrays. </w:t>
      </w:r>
      <w:r w:rsidR="008E6874" w:rsidRPr="008E6874">
        <w:rPr>
          <w:sz w:val="20"/>
          <w:szCs w:val="20"/>
          <w:lang w:eastAsia="zh-CN"/>
        </w:rPr>
        <w:t>The primary disadvantages of the planar FSS approach, however, make it unsuitable for demanding fusion environments</w:t>
      </w:r>
      <w:r w:rsidRPr="008D7185">
        <w:rPr>
          <w:sz w:val="20"/>
          <w:szCs w:val="20"/>
          <w:lang w:eastAsia="zh-CN"/>
        </w:rPr>
        <w:t>: they typically provide much weaker rejection, have a broader stopband that can attenuate desired diagnostic signals, and generally possess a lower threshold for power handling, risking damage or performance degradation under megawatt-level gyrotron radiation.</w:t>
      </w:r>
    </w:p>
    <w:p w14:paraId="4322CCEE" w14:textId="77CDFF72" w:rsidR="008D7185" w:rsidRPr="008D7185" w:rsidRDefault="008D7185" w:rsidP="00776757">
      <w:pPr>
        <w:pStyle w:val="NormalWeb"/>
        <w:shd w:val="clear" w:color="auto" w:fill="FFFFFF"/>
        <w:spacing w:before="120" w:beforeAutospacing="0" w:after="120" w:afterAutospacing="0"/>
        <w:ind w:firstLine="360"/>
        <w:jc w:val="both"/>
        <w:rPr>
          <w:sz w:val="20"/>
          <w:szCs w:val="20"/>
          <w:lang w:eastAsia="zh-CN"/>
        </w:rPr>
      </w:pPr>
      <w:r w:rsidRPr="008D7185">
        <w:rPr>
          <w:sz w:val="20"/>
          <w:szCs w:val="20"/>
          <w:lang w:eastAsia="zh-CN"/>
        </w:rPr>
        <w:t xml:space="preserve">Consequently, the choice between them is application-specific: the waveguide solution is indispensable for high-power, high-precision protection in fusion diagnostics, while the FSS technology is better suited for lower-power, cost-sensitive applications where size and weight are </w:t>
      </w:r>
      <w:r w:rsidR="008E6874">
        <w:rPr>
          <w:rFonts w:hint="eastAsia"/>
          <w:sz w:val="20"/>
          <w:szCs w:val="20"/>
          <w:lang w:eastAsia="zh-CN"/>
        </w:rPr>
        <w:t>important</w:t>
      </w:r>
      <w:r w:rsidRPr="008D7185">
        <w:rPr>
          <w:sz w:val="20"/>
          <w:szCs w:val="20"/>
          <w:lang w:eastAsia="zh-CN"/>
        </w:rPr>
        <w:t>. In the development of the integrated microwave diagnostics system for burning plasma experiments, key design drivers include higher system integration and significantly enhanced power handling capacity. Given these stringent requirements, the waveguide-based notch filter approach is distinctly superior and better aligned with our application needs. Its inherent advantages, including exceptional power resilience, sharp rejection characteristics, and structural robustness, make it the most suitable solution for protecting sensitive diagnostics in this demanding environment.</w:t>
      </w:r>
    </w:p>
    <w:p w14:paraId="11223945" w14:textId="291CA193" w:rsidR="008D7185" w:rsidRPr="00C205A6" w:rsidRDefault="008D7185" w:rsidP="00776757">
      <w:pPr>
        <w:pStyle w:val="NormalWeb"/>
        <w:shd w:val="clear" w:color="auto" w:fill="FFFFFF"/>
        <w:spacing w:before="120" w:beforeAutospacing="0" w:after="120" w:afterAutospacing="0"/>
        <w:ind w:firstLine="360"/>
        <w:jc w:val="both"/>
        <w:rPr>
          <w:sz w:val="20"/>
          <w:szCs w:val="20"/>
          <w:lang w:eastAsia="zh-CN"/>
        </w:rPr>
      </w:pPr>
      <w:r w:rsidRPr="008D7185">
        <w:rPr>
          <w:sz w:val="20"/>
          <w:szCs w:val="20"/>
          <w:lang w:eastAsia="zh-CN"/>
        </w:rPr>
        <w:t xml:space="preserve">The operational principles and design methodologies for resonant cavity notch filters are reviewed in Section 2, which also establishes the design specifications for the 170 GHz device. Section 3 presents the 3D electromagnetic model, covering the design of the fundamental resonator, the inter-cavity coupling mechanism, and the full multi-cavity structure. The simulated performance is </w:t>
      </w:r>
      <w:proofErr w:type="gramStart"/>
      <w:r w:rsidRPr="008D7185">
        <w:rPr>
          <w:sz w:val="20"/>
          <w:szCs w:val="20"/>
          <w:lang w:eastAsia="zh-CN"/>
        </w:rPr>
        <w:t>analyzed</w:t>
      </w:r>
      <w:proofErr w:type="gramEnd"/>
      <w:r w:rsidRPr="008D7185">
        <w:rPr>
          <w:sz w:val="20"/>
          <w:szCs w:val="20"/>
          <w:lang w:eastAsia="zh-CN"/>
        </w:rPr>
        <w:t xml:space="preserve"> and the optimization procedure is discussed in Section 4. The work concludes in Section 5 with a summary of the filter design and an evaluation of its deployment feasibility.</w:t>
      </w:r>
    </w:p>
    <w:p w14:paraId="72410ADA" w14:textId="00488F43" w:rsidR="0067457F" w:rsidRPr="003C3104" w:rsidRDefault="00703ABC" w:rsidP="00776757">
      <w:pPr>
        <w:pStyle w:val="NormalWeb"/>
        <w:shd w:val="clear" w:color="auto" w:fill="FFFFFF"/>
        <w:spacing w:before="120" w:beforeAutospacing="0" w:after="120" w:afterAutospacing="0"/>
        <w:jc w:val="both"/>
        <w:rPr>
          <w:rFonts w:ascii="Arial" w:hAnsi="Arial" w:cs="Arial"/>
          <w:b/>
          <w:sz w:val="19"/>
          <w:szCs w:val="19"/>
          <w:lang w:eastAsia="zh-CN"/>
        </w:rPr>
      </w:pPr>
      <w:r>
        <w:rPr>
          <w:rFonts w:ascii="Arial" w:hAnsi="Arial" w:cs="Arial"/>
          <w:b/>
          <w:sz w:val="19"/>
          <w:szCs w:val="19"/>
        </w:rPr>
        <w:t>II</w:t>
      </w:r>
      <w:r w:rsidR="0067457F" w:rsidRPr="003C3104">
        <w:rPr>
          <w:rFonts w:ascii="Arial" w:hAnsi="Arial" w:cs="Arial"/>
          <w:b/>
          <w:sz w:val="19"/>
          <w:szCs w:val="19"/>
        </w:rPr>
        <w:t xml:space="preserve">. </w:t>
      </w:r>
      <w:r w:rsidR="006605FD">
        <w:rPr>
          <w:rFonts w:ascii="Arial" w:hAnsi="Arial" w:cs="Arial" w:hint="eastAsia"/>
          <w:b/>
          <w:sz w:val="19"/>
          <w:szCs w:val="19"/>
          <w:lang w:eastAsia="zh-CN"/>
        </w:rPr>
        <w:t>DESIGN REQUIREMENTS and SPECIFICATIONS</w:t>
      </w:r>
    </w:p>
    <w:p w14:paraId="727E59A7" w14:textId="2D7DC45C" w:rsidR="00086623" w:rsidRDefault="00086623" w:rsidP="00086623">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Based on the proven foundation of our previously developed 140 GHz notch filter for the W7-X device, the design process for the 170 GHz variant initiates with calculating the characteristic parameters of a single resonant cavity. The cylindrical cavity structure and the established slot configuration for interfacing with a standard rectangular waveguide are retained, as shown in Fig. 2. However, the shift to a higher frequency, with its correspondingly shorter wavelength, necessitates stricter machining tolerances and requires the design to be robust against higher relative fabrication errors. Additionally, in anticipation of </w:t>
      </w:r>
      <w:r w:rsidR="008E6874">
        <w:rPr>
          <w:rFonts w:hint="eastAsia"/>
          <w:sz w:val="20"/>
          <w:szCs w:val="20"/>
          <w:lang w:eastAsia="zh-CN"/>
        </w:rPr>
        <w:t xml:space="preserve">a </w:t>
      </w:r>
      <w:r w:rsidRPr="006605FD">
        <w:rPr>
          <w:sz w:val="20"/>
          <w:szCs w:val="20"/>
          <w:lang w:eastAsia="zh-CN"/>
        </w:rPr>
        <w:t>~ 20 MW ECH power environment, effective thermal management is a critical performance consideration for the filter.</w:t>
      </w:r>
    </w:p>
    <w:p w14:paraId="706875DC" w14:textId="21125835" w:rsidR="00086623" w:rsidRDefault="00694D4A" w:rsidP="00694D4A">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Guided by Equations (1) and (2), the wavelength (</w:t>
      </w:r>
      <w:proofErr w:type="spellStart"/>
      <w:r w:rsidRPr="006605FD">
        <w:rPr>
          <w:sz w:val="20"/>
          <w:szCs w:val="20"/>
          <w:lang w:eastAsia="zh-CN"/>
        </w:rPr>
        <w:t>λ</w:t>
      </w:r>
      <w:r w:rsidRPr="00774CF1">
        <w:rPr>
          <w:sz w:val="20"/>
          <w:szCs w:val="20"/>
          <w:vertAlign w:val="subscript"/>
          <w:lang w:eastAsia="zh-CN"/>
        </w:rPr>
        <w:t>g</w:t>
      </w:r>
      <w:proofErr w:type="spellEnd"/>
      <w:r w:rsidRPr="006605FD">
        <w:rPr>
          <w:sz w:val="20"/>
          <w:szCs w:val="20"/>
          <w:lang w:eastAsia="zh-CN"/>
        </w:rPr>
        <w:t xml:space="preserve">) inside the cylindrical cavity is determined, from which the </w:t>
      </w:r>
      <w:r w:rsidRPr="006605FD">
        <w:rPr>
          <w:sz w:val="20"/>
          <w:szCs w:val="20"/>
          <w:lang w:eastAsia="zh-CN"/>
        </w:rPr>
        <w:t xml:space="preserve">cavity height (h) is derived. In the equations, λ is the operating wavelength at 170 GHz. The cutoff wavelength </w:t>
      </w:r>
      <w:proofErr w:type="spellStart"/>
      <w:r w:rsidRPr="006605FD">
        <w:rPr>
          <w:sz w:val="20"/>
          <w:szCs w:val="20"/>
          <w:lang w:eastAsia="zh-CN"/>
        </w:rPr>
        <w:t>λ</w:t>
      </w:r>
      <w:r w:rsidRPr="00774CF1">
        <w:rPr>
          <w:sz w:val="20"/>
          <w:szCs w:val="20"/>
          <w:vertAlign w:val="subscript"/>
          <w:lang w:eastAsia="zh-CN"/>
        </w:rPr>
        <w:t>c</w:t>
      </w:r>
      <w:proofErr w:type="spellEnd"/>
      <w:r w:rsidRPr="00774CF1">
        <w:rPr>
          <w:sz w:val="20"/>
          <w:szCs w:val="20"/>
          <w:vertAlign w:val="subscript"/>
          <w:lang w:eastAsia="zh-CN"/>
        </w:rPr>
        <w:t xml:space="preserve"> </w:t>
      </w:r>
      <w:r w:rsidRPr="006605FD">
        <w:rPr>
          <w:sz w:val="20"/>
          <w:szCs w:val="20"/>
          <w:lang w:eastAsia="zh-CN"/>
        </w:rPr>
        <w:t>of the cylindrical waveguide for a TE mode is proportional to the diameter of the cylinder D. This height must be an odd multiple of the half-wavelength to fulfill the resonance condition. A key design decision for the 170 GHz filter is the adoption of a fixed physical structure, as opposed to a tunable cavity height. This choice enhances the filter's integrability, relaxes the demands on ultra-precision machining, and ultimately improves production yield. To achieve a sufficiently deep rejection depth, a multi-stage approach utilizing cascaded identical resonant structures will be implemented.</w:t>
      </w:r>
    </w:p>
    <w:p w14:paraId="27FA9E2F" w14:textId="772E8AA9" w:rsidR="00F7555B" w:rsidRDefault="002918CC" w:rsidP="00086623">
      <w:pPr>
        <w:pStyle w:val="NormalWeb"/>
        <w:shd w:val="clear" w:color="auto" w:fill="FFFFFF"/>
        <w:spacing w:before="120" w:beforeAutospacing="0" w:after="120" w:afterAutospacing="0"/>
        <w:jc w:val="center"/>
        <w:rPr>
          <w:sz w:val="20"/>
          <w:szCs w:val="20"/>
          <w:lang w:eastAsia="zh-CN"/>
        </w:rPr>
      </w:pPr>
      <w:r>
        <w:rPr>
          <w:noProof/>
          <w:sz w:val="20"/>
          <w:szCs w:val="20"/>
          <w:lang w:eastAsia="zh-CN"/>
        </w:rPr>
        <w:drawing>
          <wp:inline distT="0" distB="0" distL="0" distR="0" wp14:anchorId="4F8A6DE1" wp14:editId="72983899">
            <wp:extent cx="3017520" cy="2392045"/>
            <wp:effectExtent l="0" t="0" r="5080" b="0"/>
            <wp:docPr id="1051992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92662" name="Picture 1051992662"/>
                    <pic:cNvPicPr/>
                  </pic:nvPicPr>
                  <pic:blipFill>
                    <a:blip r:embed="rId14"/>
                    <a:stretch>
                      <a:fillRect/>
                    </a:stretch>
                  </pic:blipFill>
                  <pic:spPr>
                    <a:xfrm>
                      <a:off x="0" y="0"/>
                      <a:ext cx="3017520" cy="2392045"/>
                    </a:xfrm>
                    <a:prstGeom prst="rect">
                      <a:avLst/>
                    </a:prstGeom>
                  </pic:spPr>
                </pic:pic>
              </a:graphicData>
            </a:graphic>
          </wp:inline>
        </w:drawing>
      </w:r>
    </w:p>
    <w:p w14:paraId="5ECDE53A" w14:textId="6A76C839" w:rsidR="00F7555B" w:rsidRDefault="00F7555B" w:rsidP="00776757">
      <w:pPr>
        <w:pStyle w:val="NormalWeb"/>
        <w:shd w:val="clear" w:color="auto" w:fill="FFFFFF"/>
        <w:spacing w:before="120" w:beforeAutospacing="0" w:after="120" w:afterAutospacing="0"/>
        <w:jc w:val="both"/>
        <w:rPr>
          <w:sz w:val="20"/>
          <w:szCs w:val="20"/>
          <w:lang w:eastAsia="zh-CN"/>
        </w:rPr>
      </w:pPr>
      <w:r w:rsidRPr="0037625F">
        <w:rPr>
          <w:sz w:val="16"/>
          <w:szCs w:val="16"/>
        </w:rPr>
        <w:t xml:space="preserve">FIG. </w:t>
      </w:r>
      <w:r>
        <w:rPr>
          <w:rFonts w:hint="eastAsia"/>
          <w:sz w:val="16"/>
          <w:szCs w:val="16"/>
          <w:lang w:eastAsia="zh-CN"/>
        </w:rPr>
        <w:t>2</w:t>
      </w:r>
      <w:r w:rsidRPr="0037625F">
        <w:rPr>
          <w:sz w:val="16"/>
          <w:szCs w:val="16"/>
        </w:rPr>
        <w:t xml:space="preserve">. </w:t>
      </w:r>
      <w:r w:rsidR="00694D4A" w:rsidRPr="00694D4A">
        <w:rPr>
          <w:sz w:val="16"/>
          <w:szCs w:val="16"/>
        </w:rPr>
        <w:t>Schematic illustration of the cylindrical resonant cavity integrated with a rectangular WR-06 waveguide for the ENOCH notch filter design</w:t>
      </w:r>
      <w:r w:rsidRPr="00F7555B">
        <w:rPr>
          <w:sz w:val="16"/>
          <w:szCs w:val="16"/>
        </w:rPr>
        <w:t>.</w:t>
      </w:r>
    </w:p>
    <w:p w14:paraId="3A8E8C2E" w14:textId="633F25A4" w:rsidR="006605FD" w:rsidRDefault="00000000" w:rsidP="00776757">
      <w:pPr>
        <w:pBdr>
          <w:top w:val="nil"/>
          <w:left w:val="nil"/>
          <w:bottom w:val="nil"/>
          <w:right w:val="nil"/>
          <w:between w:val="nil"/>
        </w:pBdr>
        <w:spacing w:before="120" w:after="120"/>
        <w:ind w:firstLine="1800"/>
        <w:jc w:val="both"/>
        <w:rPr>
          <w:lang w:eastAsia="zh-CN"/>
        </w:rPr>
      </w:pPr>
      <m:oMath>
        <m:sSub>
          <m:sSubPr>
            <m:ctrlPr>
              <w:rPr>
                <w:rFonts w:ascii="Cambria Math" w:eastAsia="Cambria Math" w:hAnsi="Cambria Math" w:cs="Cambria Math"/>
                <w:sz w:val="20"/>
                <w:szCs w:val="20"/>
              </w:rPr>
            </m:ctrlPr>
          </m:sSubPr>
          <m:e>
            <m:r>
              <w:rPr>
                <w:rFonts w:ascii="Cambria Math" w:hAnsi="Cambria Math"/>
                <w:sz w:val="20"/>
                <w:szCs w:val="20"/>
              </w:rPr>
              <m:t>λ</m:t>
            </m:r>
          </m:e>
          <m:sub>
            <m:r>
              <w:rPr>
                <w:rFonts w:ascii="Cambria Math" w:eastAsia="Cambria Math" w:hAnsi="Cambria Math" w:cs="Cambria Math"/>
                <w:sz w:val="20"/>
                <w:szCs w:val="20"/>
              </w:rPr>
              <m:t>g</m:t>
            </m:r>
          </m:sub>
        </m:sSub>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λ</m:t>
            </m:r>
          </m:num>
          <m:den>
            <m:rad>
              <m:radPr>
                <m:degHide m:val="1"/>
                <m:ctrlPr>
                  <w:rPr>
                    <w:rFonts w:ascii="Cambria Math" w:eastAsia="Cambria Math" w:hAnsi="Cambria Math" w:cs="Cambria Math"/>
                    <w:sz w:val="20"/>
                    <w:szCs w:val="20"/>
                  </w:rPr>
                </m:ctrlPr>
              </m:radPr>
              <m:deg/>
              <m:e>
                <m:r>
                  <w:rPr>
                    <w:rFonts w:ascii="Cambria Math" w:eastAsia="Cambria Math" w:hAnsi="Cambria Math" w:cs="Cambria Math"/>
                    <w:sz w:val="20"/>
                    <w:szCs w:val="20"/>
                  </w:rPr>
                  <m:t>1-</m:t>
                </m:r>
                <m:sSup>
                  <m:sSupPr>
                    <m:ctrlPr>
                      <w:rPr>
                        <w:rFonts w:ascii="Cambria Math" w:eastAsia="Cambria Math" w:hAnsi="Cambria Math" w:cs="Cambria Math"/>
                        <w:sz w:val="20"/>
                        <w:szCs w:val="20"/>
                      </w:rPr>
                    </m:ctrlPr>
                  </m:sSupPr>
                  <m:e>
                    <m:d>
                      <m:dPr>
                        <m:ctrlPr>
                          <w:rPr>
                            <w:rFonts w:ascii="Cambria Math" w:eastAsia="Cambria Math" w:hAnsi="Cambria Math" w:cs="Cambria Math"/>
                            <w:sz w:val="20"/>
                            <w:szCs w:val="20"/>
                          </w:rPr>
                        </m:ctrlPr>
                      </m:dPr>
                      <m:e>
                        <m:f>
                          <m:fPr>
                            <m:ctrlPr>
                              <w:rPr>
                                <w:rFonts w:ascii="Cambria Math" w:eastAsia="Cambria Math" w:hAnsi="Cambria Math" w:cs="Cambria Math"/>
                                <w:sz w:val="20"/>
                                <w:szCs w:val="20"/>
                              </w:rPr>
                            </m:ctrlPr>
                          </m:fPr>
                          <m:num>
                            <m:r>
                              <w:rPr>
                                <w:rFonts w:ascii="Cambria Math" w:eastAsia="Cambria Math" w:hAnsi="Cambria Math" w:cs="Cambria Math"/>
                                <w:sz w:val="20"/>
                                <w:szCs w:val="20"/>
                              </w:rPr>
                              <m:t>λ</m:t>
                            </m:r>
                          </m:num>
                          <m:den>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λ</m:t>
                                </m:r>
                              </m:e>
                              <m:sub>
                                <m:r>
                                  <w:rPr>
                                    <w:rFonts w:ascii="Cambria Math" w:eastAsia="Cambria Math" w:hAnsi="Cambria Math" w:cs="Cambria Math"/>
                                    <w:sz w:val="20"/>
                                    <w:szCs w:val="20"/>
                                  </w:rPr>
                                  <m:t>c</m:t>
                                </m:r>
                              </m:sub>
                            </m:sSub>
                          </m:den>
                        </m:f>
                      </m:e>
                    </m:d>
                  </m:e>
                  <m:sup>
                    <m:r>
                      <w:rPr>
                        <w:rFonts w:ascii="Cambria Math" w:eastAsia="Cambria Math" w:hAnsi="Cambria Math" w:cs="Cambria Math"/>
                        <w:sz w:val="20"/>
                        <w:szCs w:val="20"/>
                      </w:rPr>
                      <m:t>2</m:t>
                    </m:r>
                  </m:sup>
                </m:sSup>
              </m:e>
            </m:rad>
          </m:den>
        </m:f>
      </m:oMath>
      <w:r w:rsidR="006605FD">
        <w:t xml:space="preserve">                 </w:t>
      </w:r>
      <w:r w:rsidR="006605FD">
        <w:rPr>
          <w:rFonts w:hint="eastAsia"/>
          <w:lang w:eastAsia="zh-CN"/>
        </w:rPr>
        <w:t xml:space="preserve">     </w:t>
      </w:r>
      <w:r w:rsidR="006605FD" w:rsidRPr="006605FD">
        <w:rPr>
          <w:rFonts w:hint="eastAsia"/>
          <w:sz w:val="20"/>
          <w:szCs w:val="20"/>
          <w:lang w:eastAsia="zh-CN"/>
        </w:rPr>
        <w:t>(1)</w:t>
      </w:r>
      <w:r w:rsidR="006605FD">
        <w:t xml:space="preserve">                               </w:t>
      </w:r>
    </w:p>
    <w:p w14:paraId="15B42224" w14:textId="4234A486" w:rsidR="006605FD" w:rsidRPr="006605FD" w:rsidRDefault="006605FD" w:rsidP="00776757">
      <w:pPr>
        <w:pStyle w:val="NormalWeb"/>
        <w:shd w:val="clear" w:color="auto" w:fill="FFFFFF"/>
        <w:spacing w:before="120" w:beforeAutospacing="0" w:after="120" w:afterAutospacing="0"/>
        <w:ind w:left="990" w:firstLine="270"/>
        <w:jc w:val="both"/>
        <w:rPr>
          <w:sz w:val="20"/>
          <w:szCs w:val="20"/>
          <w:lang w:eastAsia="zh-CN"/>
        </w:rPr>
      </w:pPr>
      <m:oMath>
        <m:r>
          <w:rPr>
            <w:rFonts w:ascii="Cambria Math" w:eastAsia="Cambria Math" w:hAnsi="Cambria Math" w:cs="Cambria Math"/>
            <w:sz w:val="20"/>
            <w:szCs w:val="20"/>
          </w:rPr>
          <m:t>h=p</m:t>
        </m:r>
        <m:f>
          <m:fPr>
            <m:ctrlPr>
              <w:rPr>
                <w:rFonts w:ascii="Cambria Math" w:eastAsia="Cambria Math" w:hAnsi="Cambria Math" w:cs="Cambria Math"/>
                <w:sz w:val="20"/>
                <w:szCs w:val="20"/>
              </w:rPr>
            </m:ctrlPr>
          </m:fPr>
          <m:num>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λ</m:t>
                </m:r>
              </m:e>
              <m:sub>
                <m:r>
                  <w:rPr>
                    <w:rFonts w:ascii="Cambria Math" w:eastAsia="Cambria Math" w:hAnsi="Cambria Math" w:cs="Cambria Math"/>
                    <w:sz w:val="20"/>
                    <w:szCs w:val="20"/>
                  </w:rPr>
                  <m:t>g</m:t>
                </m:r>
              </m:sub>
            </m:sSub>
          </m:num>
          <m:den>
            <m:r>
              <w:rPr>
                <w:rFonts w:ascii="Cambria Math" w:eastAsia="Cambria Math" w:hAnsi="Cambria Math" w:cs="Cambria Math"/>
                <w:sz w:val="20"/>
                <w:szCs w:val="20"/>
              </w:rPr>
              <m:t>2</m:t>
            </m:r>
          </m:den>
        </m:f>
        <m:r>
          <w:rPr>
            <w:rFonts w:ascii="Cambria Math" w:eastAsia="Cambria Math" w:hAnsi="Cambria Math" w:cs="Cambria Math"/>
            <w:sz w:val="20"/>
            <w:szCs w:val="20"/>
          </w:rPr>
          <m:t xml:space="preserve"> (p=1,2,3,…)</m:t>
        </m:r>
      </m:oMath>
      <w:r>
        <w:rPr>
          <w:rFonts w:hint="eastAsia"/>
          <w:sz w:val="20"/>
          <w:szCs w:val="20"/>
          <w:lang w:eastAsia="zh-CN"/>
        </w:rPr>
        <w:t xml:space="preserve">                    (2)</w:t>
      </w:r>
    </w:p>
    <w:p w14:paraId="0A6C9A29" w14:textId="2FB5BFC2" w:rsidR="006605FD"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To provide adequate attenuation in the rejection band, this notch filter is designed with multiple cavities. The number of cavities is directly related to the steepness and depth of the rejection band. More cavities result in better notch performance (i.e., attenuation at 170 GHz), but with more fabrication and tuning challenges. To provide excellent transmission between the cavities, the gap (l) between the cylindrical cavities should be taken as odd multiples (N) of the quarter-wavelength of the rectangular waveguide, as shown in the following equation:</w:t>
      </w:r>
    </w:p>
    <w:p w14:paraId="3261D610" w14:textId="2883B364" w:rsidR="006605FD" w:rsidRPr="006605FD" w:rsidRDefault="006605FD" w:rsidP="00776757">
      <w:pPr>
        <w:pStyle w:val="NormalWeb"/>
        <w:shd w:val="clear" w:color="auto" w:fill="FFFFFF"/>
        <w:spacing w:before="120" w:beforeAutospacing="0" w:after="120" w:afterAutospacing="0"/>
        <w:ind w:left="1260" w:firstLine="90"/>
        <w:jc w:val="both"/>
        <w:rPr>
          <w:sz w:val="20"/>
          <w:szCs w:val="20"/>
          <w:lang w:eastAsia="zh-CN"/>
        </w:rPr>
      </w:pPr>
      <m:oMath>
        <m:r>
          <w:rPr>
            <w:rFonts w:ascii="Cambria Math" w:eastAsia="Cambria Math" w:hAnsi="Cambria Math" w:cs="Cambria Math"/>
            <w:sz w:val="20"/>
            <w:szCs w:val="20"/>
          </w:rPr>
          <m:t>l=N</m:t>
        </m:r>
        <m:f>
          <m:fPr>
            <m:ctrlPr>
              <w:rPr>
                <w:rFonts w:ascii="Cambria Math" w:eastAsia="Cambria Math" w:hAnsi="Cambria Math" w:cs="Cambria Math"/>
                <w:sz w:val="20"/>
                <w:szCs w:val="20"/>
              </w:rPr>
            </m:ctrlPr>
          </m:fPr>
          <m:num>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λ</m:t>
                </m:r>
              </m:e>
              <m:sub>
                <m:r>
                  <w:rPr>
                    <w:rFonts w:ascii="Cambria Math" w:eastAsia="Cambria Math" w:hAnsi="Cambria Math" w:cs="Cambria Math"/>
                    <w:sz w:val="20"/>
                    <w:szCs w:val="20"/>
                  </w:rPr>
                  <m:t>g</m:t>
                </m:r>
              </m:sub>
            </m:sSub>
          </m:num>
          <m:den>
            <m:r>
              <w:rPr>
                <w:rFonts w:ascii="Cambria Math" w:eastAsia="Cambria Math" w:hAnsi="Cambria Math" w:cs="Cambria Math"/>
                <w:sz w:val="20"/>
                <w:szCs w:val="20"/>
              </w:rPr>
              <m:t>4</m:t>
            </m:r>
          </m:den>
        </m:f>
        <m:r>
          <w:rPr>
            <w:rFonts w:ascii="Cambria Math" w:eastAsia="Cambria Math" w:hAnsi="Cambria Math" w:cs="Cambria Math"/>
            <w:sz w:val="20"/>
            <w:szCs w:val="20"/>
          </w:rPr>
          <m:t xml:space="preserve"> (N=1,3,5,…)</m:t>
        </m:r>
      </m:oMath>
      <w:r>
        <w:rPr>
          <w:rFonts w:hint="eastAsia"/>
          <w:sz w:val="20"/>
          <w:szCs w:val="20"/>
          <w:lang w:eastAsia="zh-CN"/>
        </w:rPr>
        <w:t xml:space="preserve">                   (3)</w:t>
      </w:r>
    </w:p>
    <w:p w14:paraId="583E10E3" w14:textId="5A1D4390" w:rsidR="006605FD" w:rsidRPr="006605FD"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The 170 GHz notch filter is designed within a standard D-band WR-06 waveguide, measuring 1.651 mm in width and 0.8255 mm in height. The wavelength of the fundamental TE10 </w:t>
      </w:r>
      <w:r w:rsidR="008E6874">
        <w:rPr>
          <w:rFonts w:hint="eastAsia"/>
          <w:sz w:val="20"/>
          <w:szCs w:val="20"/>
          <w:lang w:eastAsia="zh-CN"/>
        </w:rPr>
        <w:t xml:space="preserve">mode </w:t>
      </w:r>
      <w:r w:rsidRPr="006605FD">
        <w:rPr>
          <w:sz w:val="20"/>
          <w:szCs w:val="20"/>
          <w:lang w:eastAsia="zh-CN"/>
        </w:rPr>
        <w:t xml:space="preserve">is calculated as 2.0856 mm for a 170 GHz wave. According to Eq. (3), the gap distance can be selected from various discrete lengths, including 0.5214 mm (N = 1), 1.5642 mm (N = 3), and 2.6070 mm (N = 5). In this design, the N = 3 configuration yielding a physical </w:t>
      </w:r>
      <w:r w:rsidRPr="006605FD">
        <w:rPr>
          <w:sz w:val="20"/>
          <w:szCs w:val="20"/>
          <w:lang w:eastAsia="zh-CN"/>
        </w:rPr>
        <w:lastRenderedPageBreak/>
        <w:t>gap distance of 1.5642 mm is selected to optimize passband flatness while relaxing fabrication clearances between adjacent tuning walls.</w:t>
      </w:r>
    </w:p>
    <w:p w14:paraId="601ABB0A" w14:textId="3333E49E" w:rsidR="006605FD" w:rsidRPr="006605FD"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The development of the 170 GHz waveguide notch filter is driven by the critical need to protect microwave diagnostics within a burning plasma environment, anticipated to feature 20 MW of auxiliary 170 GHz Electron Cyclotron Heating (ECH) power. To ensure reliable operation, the filter must exhibit a rejection depth greater than 90 dB at the specific 170 GHz gyrotron frequency while simultaneously maintaining a low insertion loss of less than 3 </w:t>
      </w:r>
      <w:proofErr w:type="spellStart"/>
      <w:r w:rsidRPr="006605FD">
        <w:rPr>
          <w:sz w:val="20"/>
          <w:szCs w:val="20"/>
          <w:lang w:eastAsia="zh-CN"/>
        </w:rPr>
        <w:t>dB.</w:t>
      </w:r>
      <w:proofErr w:type="spellEnd"/>
      <w:r w:rsidRPr="006605FD">
        <w:rPr>
          <w:sz w:val="20"/>
          <w:szCs w:val="20"/>
          <w:lang w:eastAsia="zh-CN"/>
        </w:rPr>
        <w:t xml:space="preserve"> </w:t>
      </w:r>
      <w:r w:rsidR="00EF338E" w:rsidRPr="00EF338E">
        <w:rPr>
          <w:sz w:val="20"/>
          <w:szCs w:val="20"/>
          <w:lang w:eastAsia="zh-CN"/>
        </w:rPr>
        <w:t>The design targets an insertion loss below 1 dB</w:t>
      </w:r>
      <w:r w:rsidR="00EF338E">
        <w:rPr>
          <w:rFonts w:hint="eastAsia"/>
          <w:sz w:val="20"/>
          <w:szCs w:val="20"/>
          <w:lang w:eastAsia="zh-CN"/>
        </w:rPr>
        <w:t xml:space="preserve"> </w:t>
      </w:r>
      <w:r w:rsidRPr="006605FD">
        <w:rPr>
          <w:sz w:val="20"/>
          <w:szCs w:val="20"/>
          <w:lang w:eastAsia="zh-CN"/>
        </w:rPr>
        <w:t>across the essential 134 – 166 GHz passband utilized by diagnostics such as Frequency-Modulated Continuous Wave (FMCW) reflectometer</w:t>
      </w:r>
      <w:r w:rsidR="00357D0D">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_Ref231913507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23</w:t>
      </w:r>
      <w:r w:rsidR="00357D0D" w:rsidRPr="00357D0D">
        <w:rPr>
          <w:sz w:val="20"/>
          <w:szCs w:val="20"/>
          <w:vertAlign w:val="superscript"/>
          <w:lang w:eastAsia="zh-CN"/>
        </w:rPr>
        <w:fldChar w:fldCharType="end"/>
      </w:r>
      <w:r w:rsidR="00357D0D" w:rsidRPr="00357D0D">
        <w:rPr>
          <w:rFonts w:hint="eastAsia"/>
          <w:sz w:val="20"/>
          <w:szCs w:val="20"/>
          <w:vertAlign w:val="superscript"/>
          <w:lang w:eastAsia="zh-CN"/>
        </w:rPr>
        <w:t>,</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_Ref231913509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24</w:t>
      </w:r>
      <w:r w:rsidR="00357D0D" w:rsidRPr="00357D0D">
        <w:rPr>
          <w:sz w:val="20"/>
          <w:szCs w:val="20"/>
          <w:vertAlign w:val="superscript"/>
          <w:lang w:eastAsia="zh-CN"/>
        </w:rPr>
        <w:fldChar w:fldCharType="end"/>
      </w:r>
      <w:r w:rsidR="000553E6">
        <w:rPr>
          <w:rFonts w:hint="eastAsia"/>
          <w:sz w:val="20"/>
          <w:szCs w:val="20"/>
          <w:lang w:eastAsia="zh-CN"/>
        </w:rPr>
        <w:t xml:space="preserve"> </w:t>
      </w:r>
      <w:r w:rsidRPr="006605FD">
        <w:rPr>
          <w:sz w:val="20"/>
          <w:szCs w:val="20"/>
          <w:lang w:eastAsia="zh-CN"/>
        </w:rPr>
        <w:t>, Electron Cyclotron Emission (ECE)</w:t>
      </w:r>
      <w:r w:rsidR="000553E6">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_Ref231913529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25</w:t>
      </w:r>
      <w:r w:rsidR="00357D0D" w:rsidRPr="00357D0D">
        <w:rPr>
          <w:sz w:val="20"/>
          <w:szCs w:val="20"/>
          <w:vertAlign w:val="superscript"/>
          <w:lang w:eastAsia="zh-CN"/>
        </w:rPr>
        <w:fldChar w:fldCharType="end"/>
      </w:r>
      <w:r w:rsidR="00357D0D" w:rsidRPr="00357D0D">
        <w:rPr>
          <w:rFonts w:hint="eastAsia"/>
          <w:sz w:val="20"/>
          <w:szCs w:val="20"/>
          <w:vertAlign w:val="superscript"/>
          <w:lang w:eastAsia="zh-CN"/>
        </w:rPr>
        <w:t>,</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_Ref231913531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26</w:t>
      </w:r>
      <w:r w:rsidR="00357D0D" w:rsidRPr="00357D0D">
        <w:rPr>
          <w:sz w:val="20"/>
          <w:szCs w:val="20"/>
          <w:vertAlign w:val="superscript"/>
          <w:lang w:eastAsia="zh-CN"/>
        </w:rPr>
        <w:fldChar w:fldCharType="end"/>
      </w:r>
      <w:r w:rsidR="00357D0D" w:rsidRPr="00357D0D">
        <w:rPr>
          <w:rFonts w:hint="eastAsia"/>
          <w:sz w:val="20"/>
          <w:szCs w:val="20"/>
          <w:vertAlign w:val="superscript"/>
          <w:lang w:eastAsia="zh-CN"/>
        </w:rPr>
        <w:t>,</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REF _Ref231913533 \r \h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27</w:t>
      </w:r>
      <w:r w:rsidR="00357D0D" w:rsidRPr="00357D0D">
        <w:rPr>
          <w:sz w:val="20"/>
          <w:szCs w:val="20"/>
          <w:vertAlign w:val="superscript"/>
          <w:lang w:eastAsia="zh-CN"/>
        </w:rPr>
        <w:fldChar w:fldCharType="end"/>
      </w:r>
      <w:r w:rsidRPr="006605FD">
        <w:rPr>
          <w:sz w:val="20"/>
          <w:szCs w:val="20"/>
          <w:lang w:eastAsia="zh-CN"/>
        </w:rPr>
        <w:t>, and Doppler Backscattering (DBS)</w:t>
      </w:r>
      <w:r w:rsidR="000553E6">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_Ref231913558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28</w:t>
      </w:r>
      <w:r w:rsidR="00357D0D" w:rsidRPr="00357D0D">
        <w:rPr>
          <w:sz w:val="20"/>
          <w:szCs w:val="20"/>
          <w:vertAlign w:val="superscript"/>
          <w:lang w:eastAsia="zh-CN"/>
        </w:rPr>
        <w:fldChar w:fldCharType="end"/>
      </w:r>
      <w:r w:rsidRPr="006605FD">
        <w:rPr>
          <w:sz w:val="20"/>
          <w:szCs w:val="20"/>
          <w:lang w:eastAsia="zh-CN"/>
        </w:rPr>
        <w:t>.</w:t>
      </w:r>
    </w:p>
    <w:p w14:paraId="0E0F052B" w14:textId="1A6E83FF" w:rsidR="006605FD" w:rsidRPr="006605FD"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Leveraging proven experience from a 140 GHz predecessor, this design must also demonstrate robust power resilience by withstanding direct irradiation from 100 W of stray ECH power. A key thermal management requirement is that the filter's temperature remains below 100°C under this load with only natural convection cooling, a prerequisite for the safe integration of a thermally isolating waveguide section to protect downstream detectors from heat damage.</w:t>
      </w:r>
    </w:p>
    <w:p w14:paraId="71995306" w14:textId="2A16E046" w:rsidR="0067457F" w:rsidRPr="003C3104" w:rsidRDefault="00703ABC" w:rsidP="00776757">
      <w:pPr>
        <w:pStyle w:val="NormalWeb"/>
        <w:shd w:val="clear" w:color="auto" w:fill="FFFFFF"/>
        <w:spacing w:before="120" w:beforeAutospacing="0" w:after="120" w:afterAutospacing="0"/>
        <w:jc w:val="both"/>
        <w:rPr>
          <w:rFonts w:ascii="Arial" w:hAnsi="Arial" w:cs="Arial"/>
          <w:b/>
          <w:sz w:val="19"/>
          <w:szCs w:val="19"/>
          <w:lang w:eastAsia="zh-CN"/>
        </w:rPr>
      </w:pPr>
      <w:r>
        <w:rPr>
          <w:rFonts w:ascii="Arial" w:hAnsi="Arial" w:cs="Arial"/>
          <w:b/>
          <w:sz w:val="19"/>
          <w:szCs w:val="19"/>
        </w:rPr>
        <w:t>III</w:t>
      </w:r>
      <w:r w:rsidR="0067457F" w:rsidRPr="003C3104">
        <w:rPr>
          <w:rFonts w:ascii="Arial" w:hAnsi="Arial" w:cs="Arial"/>
          <w:b/>
          <w:sz w:val="19"/>
          <w:szCs w:val="19"/>
        </w:rPr>
        <w:t xml:space="preserve">. </w:t>
      </w:r>
      <w:r w:rsidR="006605FD">
        <w:rPr>
          <w:rFonts w:ascii="Arial" w:hAnsi="Arial" w:cs="Arial" w:hint="eastAsia"/>
          <w:b/>
          <w:sz w:val="19"/>
          <w:szCs w:val="19"/>
          <w:lang w:eastAsia="zh-CN"/>
        </w:rPr>
        <w:t>FITER DESIGN and PRELIMINARY RESULT</w:t>
      </w:r>
    </w:p>
    <w:p w14:paraId="2212FB2D" w14:textId="6AB3B5B1" w:rsidR="0067457F"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rPr>
        <w:t xml:space="preserve">ENOCH (Electromagnetic Notch Filters for Electron Cyclotron Heating) is designed for integration at the front-end of a D-band receiver module for microwave radiometry, serving to protect the nanowatt-sensitivity receiver from 170 GHz ECH leakage entering through the vessel or other parasitic coupling paths. To achieve an optimal balance between rejection performance and fabrication feasibility, an eight-cavity configuration was selected. As illustrated in Fig. </w:t>
      </w:r>
      <w:r w:rsidR="000553E6">
        <w:rPr>
          <w:rFonts w:hint="eastAsia"/>
          <w:sz w:val="20"/>
          <w:szCs w:val="20"/>
          <w:lang w:eastAsia="zh-CN"/>
        </w:rPr>
        <w:t>3</w:t>
      </w:r>
      <w:r w:rsidRPr="006605FD">
        <w:rPr>
          <w:sz w:val="20"/>
          <w:szCs w:val="20"/>
        </w:rPr>
        <w:t>, the cavities are spaced with a gap of 2.450 mm between adjacent channels. This spacing, which is optimized for enhanced coupling between multiple cavities, was chosen to be shorter than the 5-times quarter-wavelength distance (L = 2.610 mm) to provide superior notch depth performance</w:t>
      </w:r>
      <w:r w:rsidR="0067457F" w:rsidRPr="00C205A6">
        <w:rPr>
          <w:sz w:val="20"/>
          <w:szCs w:val="20"/>
        </w:rPr>
        <w:t>.</w:t>
      </w:r>
    </w:p>
    <w:p w14:paraId="2770D4E2" w14:textId="45A6F2AF" w:rsidR="00F7555B" w:rsidRDefault="00F7555B" w:rsidP="00776757">
      <w:pPr>
        <w:pStyle w:val="NormalWeb"/>
        <w:shd w:val="clear" w:color="auto" w:fill="FFFFFF"/>
        <w:spacing w:before="120" w:beforeAutospacing="0" w:after="120" w:afterAutospacing="0"/>
        <w:jc w:val="both"/>
        <w:rPr>
          <w:sz w:val="20"/>
          <w:szCs w:val="20"/>
          <w:lang w:eastAsia="zh-CN"/>
        </w:rPr>
      </w:pPr>
      <w:r>
        <w:rPr>
          <w:noProof/>
        </w:rPr>
        <w:drawing>
          <wp:inline distT="114300" distB="114300" distL="114300" distR="114300" wp14:anchorId="30B90F79" wp14:editId="151AEBAB">
            <wp:extent cx="3017520" cy="1642566"/>
            <wp:effectExtent l="0" t="0" r="5080" b="0"/>
            <wp:docPr id="7290661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017520" cy="1642566"/>
                    </a:xfrm>
                    <a:prstGeom prst="rect">
                      <a:avLst/>
                    </a:prstGeom>
                    <a:ln/>
                  </pic:spPr>
                </pic:pic>
              </a:graphicData>
            </a:graphic>
          </wp:inline>
        </w:drawing>
      </w:r>
    </w:p>
    <w:p w14:paraId="71EBE7C1" w14:textId="1966F251" w:rsidR="00F7555B" w:rsidRDefault="00F7555B" w:rsidP="00776757">
      <w:pPr>
        <w:pStyle w:val="NormalWeb"/>
        <w:shd w:val="clear" w:color="auto" w:fill="FFFFFF"/>
        <w:spacing w:before="120" w:beforeAutospacing="0" w:after="120" w:afterAutospacing="0"/>
        <w:jc w:val="both"/>
        <w:rPr>
          <w:sz w:val="20"/>
          <w:szCs w:val="20"/>
          <w:lang w:eastAsia="zh-CN"/>
        </w:rPr>
      </w:pPr>
      <w:r w:rsidRPr="0037625F">
        <w:rPr>
          <w:sz w:val="16"/>
          <w:szCs w:val="16"/>
        </w:rPr>
        <w:t xml:space="preserve">FIG. </w:t>
      </w:r>
      <w:r>
        <w:rPr>
          <w:rFonts w:hint="eastAsia"/>
          <w:sz w:val="16"/>
          <w:szCs w:val="16"/>
          <w:lang w:eastAsia="zh-CN"/>
        </w:rPr>
        <w:t>3</w:t>
      </w:r>
      <w:r w:rsidRPr="0037625F">
        <w:rPr>
          <w:sz w:val="16"/>
          <w:szCs w:val="16"/>
        </w:rPr>
        <w:t xml:space="preserve">. </w:t>
      </w:r>
      <w:r w:rsidR="00694D4A" w:rsidRPr="00694D4A">
        <w:rPr>
          <w:sz w:val="16"/>
          <w:szCs w:val="16"/>
        </w:rPr>
        <w:t>Three-dimensional model of the preliminary eight-cavity ENOCH notch filter integrated into a WR-06 waveguide structure</w:t>
      </w:r>
      <w:r>
        <w:rPr>
          <w:rFonts w:hint="eastAsia"/>
          <w:sz w:val="16"/>
          <w:szCs w:val="16"/>
          <w:lang w:eastAsia="zh-CN"/>
        </w:rPr>
        <w:t>.</w:t>
      </w:r>
    </w:p>
    <w:p w14:paraId="63B628C5" w14:textId="77777777" w:rsidR="006605FD" w:rsidRPr="006605FD"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At this preliminary stage, the design is based on an ideal mathematical model for resonance analysis of a single </w:t>
      </w:r>
      <w:r w:rsidRPr="006605FD">
        <w:rPr>
          <w:sz w:val="20"/>
          <w:szCs w:val="20"/>
          <w:lang w:eastAsia="zh-CN"/>
        </w:rPr>
        <w:t>cavity, which is then replicated to form the multi-cavity structure. A key element not yet fully integrated into the initial analytical model is the coupling slit between each resonant cavity and the rectangular waveguide. Based on prior design experience and post-fabrication measurements, we have identified that the slit geometry subtly influences ENOCH's critical parameters, including the notch center frequency, rejection depth, and 3 dB bandwidth.</w:t>
      </w:r>
    </w:p>
    <w:p w14:paraId="5E46F9D6" w14:textId="0D6A509A" w:rsidR="006605FD"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While maintaining an aspect ratio (height‑to‑width) of less than 3 for the slit significantly reduces machining complexity, which is highly beneficial for controlling costs and improving production yield. Consequently, the slit dimensions were initially set as 530 µm (width), 1506 µm (height), 478 µm (depth). </w:t>
      </w:r>
      <w:r w:rsidR="00EF338E" w:rsidRPr="00EF338E">
        <w:rPr>
          <w:sz w:val="20"/>
          <w:szCs w:val="20"/>
          <w:lang w:eastAsia="zh-CN"/>
        </w:rPr>
        <w:t>These dimensions provide efficient electromagnetic coupling</w:t>
      </w:r>
      <w:r w:rsidRPr="006605FD">
        <w:rPr>
          <w:sz w:val="20"/>
          <w:szCs w:val="20"/>
          <w:lang w:eastAsia="zh-CN"/>
        </w:rPr>
        <w:t xml:space="preserve">. </w:t>
      </w:r>
      <w:r w:rsidR="00EF338E" w:rsidRPr="00EF338E">
        <w:rPr>
          <w:sz w:val="20"/>
          <w:szCs w:val="20"/>
          <w:lang w:eastAsia="zh-CN"/>
        </w:rPr>
        <w:t>Although fabrication of such small waveguide features is challenging</w:t>
      </w:r>
      <w:r w:rsidRPr="006605FD">
        <w:rPr>
          <w:sz w:val="20"/>
          <w:szCs w:val="20"/>
          <w:lang w:eastAsia="zh-CN"/>
        </w:rPr>
        <w:t>, high-precision microfabrication techniques such as Computer Numerical Control (CNC) milling can realize the proposed design with the required accuracy.</w:t>
      </w:r>
    </w:p>
    <w:p w14:paraId="4AA0FE75" w14:textId="75434B75" w:rsidR="00F7555B" w:rsidRDefault="00F7555B" w:rsidP="00776757">
      <w:pPr>
        <w:pStyle w:val="NormalWeb"/>
        <w:shd w:val="clear" w:color="auto" w:fill="FFFFFF"/>
        <w:spacing w:before="120" w:beforeAutospacing="0" w:after="120" w:afterAutospacing="0"/>
        <w:jc w:val="both"/>
        <w:rPr>
          <w:sz w:val="20"/>
          <w:szCs w:val="20"/>
          <w:lang w:eastAsia="zh-CN"/>
        </w:rPr>
      </w:pPr>
      <w:r>
        <w:rPr>
          <w:noProof/>
        </w:rPr>
        <w:drawing>
          <wp:inline distT="114300" distB="114300" distL="114300" distR="114300" wp14:anchorId="31B2C11D" wp14:editId="75DD3425">
            <wp:extent cx="3017520" cy="1512311"/>
            <wp:effectExtent l="0" t="0" r="508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017520" cy="1512311"/>
                    </a:xfrm>
                    <a:prstGeom prst="rect">
                      <a:avLst/>
                    </a:prstGeom>
                    <a:ln/>
                  </pic:spPr>
                </pic:pic>
              </a:graphicData>
            </a:graphic>
          </wp:inline>
        </w:drawing>
      </w:r>
    </w:p>
    <w:p w14:paraId="583C9730" w14:textId="1EC48748" w:rsidR="00F7555B" w:rsidRPr="006605FD" w:rsidRDefault="00F7555B" w:rsidP="00776757">
      <w:pPr>
        <w:pStyle w:val="NormalWeb"/>
        <w:shd w:val="clear" w:color="auto" w:fill="FFFFFF"/>
        <w:spacing w:before="120" w:beforeAutospacing="0" w:after="120" w:afterAutospacing="0"/>
        <w:jc w:val="both"/>
        <w:rPr>
          <w:sz w:val="20"/>
          <w:szCs w:val="20"/>
          <w:lang w:eastAsia="zh-CN"/>
        </w:rPr>
      </w:pPr>
      <w:r w:rsidRPr="0037625F">
        <w:rPr>
          <w:sz w:val="16"/>
          <w:szCs w:val="16"/>
        </w:rPr>
        <w:t xml:space="preserve">FIG. </w:t>
      </w:r>
      <w:r>
        <w:rPr>
          <w:rFonts w:hint="eastAsia"/>
          <w:sz w:val="16"/>
          <w:szCs w:val="16"/>
          <w:lang w:eastAsia="zh-CN"/>
        </w:rPr>
        <w:t>4</w:t>
      </w:r>
      <w:r w:rsidRPr="0037625F">
        <w:rPr>
          <w:sz w:val="16"/>
          <w:szCs w:val="16"/>
        </w:rPr>
        <w:t xml:space="preserve">. </w:t>
      </w:r>
      <w:r w:rsidRPr="00F7555B">
        <w:rPr>
          <w:sz w:val="16"/>
          <w:szCs w:val="16"/>
        </w:rPr>
        <w:t>Preliminary design simulation performance with notch frequency close to 170 GHz. The 3 dB bandwidth is around 6 GHz (167.21 to 173.20 GHz). The 60 dB bandwidth is approximately 3.17 GHz (168.43 to 171.60 GHz)</w:t>
      </w:r>
      <w:r>
        <w:rPr>
          <w:rFonts w:hint="eastAsia"/>
          <w:sz w:val="16"/>
          <w:szCs w:val="16"/>
          <w:lang w:eastAsia="zh-CN"/>
        </w:rPr>
        <w:t>.</w:t>
      </w:r>
    </w:p>
    <w:p w14:paraId="501E9C58" w14:textId="7DF658B0" w:rsidR="006605FD" w:rsidRPr="00C205A6"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This initial geometry was modeled and analyzed using CST Microwave Studio (CST MWS)</w:t>
      </w:r>
      <w:r w:rsidR="000553E6">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_Ref231913582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29</w:t>
      </w:r>
      <w:r w:rsidR="00357D0D" w:rsidRPr="00357D0D">
        <w:rPr>
          <w:sz w:val="20"/>
          <w:szCs w:val="20"/>
          <w:vertAlign w:val="superscript"/>
          <w:lang w:eastAsia="zh-CN"/>
        </w:rPr>
        <w:fldChar w:fldCharType="end"/>
      </w:r>
      <w:r w:rsidRPr="006605FD">
        <w:rPr>
          <w:sz w:val="20"/>
          <w:szCs w:val="20"/>
          <w:lang w:eastAsia="zh-CN"/>
        </w:rPr>
        <w:t xml:space="preserve">, a specialized tool for 3D electromagnetic simulation of high-frequency devices. A broadband simulation from 135 GHz to 185 GHz was performed to analyze the transmission loss of the microwave signal, yielding the initial performance results shown in Fig. </w:t>
      </w:r>
      <w:r w:rsidR="000553E6">
        <w:rPr>
          <w:rFonts w:hint="eastAsia"/>
          <w:sz w:val="20"/>
          <w:szCs w:val="20"/>
          <w:lang w:eastAsia="zh-CN"/>
        </w:rPr>
        <w:t>4</w:t>
      </w:r>
      <w:r w:rsidRPr="006605FD">
        <w:rPr>
          <w:sz w:val="20"/>
          <w:szCs w:val="20"/>
          <w:lang w:eastAsia="zh-CN"/>
        </w:rPr>
        <w:t xml:space="preserve">. </w:t>
      </w:r>
      <w:r w:rsidR="00EF338E" w:rsidRPr="00EF338E">
        <w:rPr>
          <w:sz w:val="20"/>
          <w:szCs w:val="20"/>
          <w:lang w:eastAsia="zh-CN"/>
        </w:rPr>
        <w:t>The preliminary filter design demonstrates strong rejection performance</w:t>
      </w:r>
      <w:r w:rsidR="00EF338E">
        <w:rPr>
          <w:rFonts w:hint="eastAsia"/>
          <w:sz w:val="20"/>
          <w:szCs w:val="20"/>
          <w:lang w:eastAsia="zh-CN"/>
        </w:rPr>
        <w:t xml:space="preserve"> </w:t>
      </w:r>
      <w:r w:rsidRPr="006605FD">
        <w:rPr>
          <w:sz w:val="20"/>
          <w:szCs w:val="20"/>
          <w:lang w:eastAsia="zh-CN"/>
        </w:rPr>
        <w:t xml:space="preserve">with a center frequency close to 170 GHz and a minimum insertion loss exceeding 100 dB at the notch frequency. The extracted 3 dB bandwidth is approximately 6 GHz, while the 60 dB rejection bandwidth is about 3.2 GHz, indicating effective suppression of unwanted signals around the target frequency. Future design improvements should focus on reducing the notch bandwidth to achieve higher frequency selectivity, minimizing passband insertion loss, and improving out-of-band transmission flatness. </w:t>
      </w:r>
    </w:p>
    <w:p w14:paraId="4D3AB9B3" w14:textId="0D35A8F3" w:rsidR="0067457F" w:rsidRPr="003C3104" w:rsidRDefault="00703ABC" w:rsidP="00776757">
      <w:pPr>
        <w:pStyle w:val="NormalWeb"/>
        <w:shd w:val="clear" w:color="auto" w:fill="FFFFFF"/>
        <w:spacing w:before="120" w:beforeAutospacing="0" w:after="120" w:afterAutospacing="0"/>
        <w:jc w:val="both"/>
        <w:rPr>
          <w:rFonts w:ascii="Arial" w:hAnsi="Arial" w:cs="Arial"/>
          <w:b/>
          <w:bCs/>
          <w:sz w:val="19"/>
          <w:szCs w:val="19"/>
          <w:lang w:eastAsia="zh-CN"/>
        </w:rPr>
      </w:pPr>
      <w:r>
        <w:rPr>
          <w:rFonts w:ascii="Arial" w:hAnsi="Arial" w:cs="Arial"/>
          <w:b/>
          <w:bCs/>
          <w:sz w:val="19"/>
          <w:szCs w:val="19"/>
        </w:rPr>
        <w:t>I</w:t>
      </w:r>
      <w:r w:rsidR="0067457F" w:rsidRPr="003C3104">
        <w:rPr>
          <w:rFonts w:ascii="Arial" w:hAnsi="Arial" w:cs="Arial"/>
          <w:b/>
          <w:bCs/>
          <w:sz w:val="19"/>
          <w:szCs w:val="19"/>
        </w:rPr>
        <w:t xml:space="preserve">V. </w:t>
      </w:r>
      <w:r w:rsidR="006605FD">
        <w:rPr>
          <w:rFonts w:ascii="Arial" w:hAnsi="Arial" w:cs="Arial" w:hint="eastAsia"/>
          <w:b/>
          <w:bCs/>
          <w:sz w:val="19"/>
          <w:szCs w:val="19"/>
          <w:lang w:eastAsia="zh-CN"/>
        </w:rPr>
        <w:t>OPTIMIZED DESIGN and POWER HANDLING ANALYSIS</w:t>
      </w:r>
    </w:p>
    <w:p w14:paraId="6540ACC6" w14:textId="77777777" w:rsidR="006605FD" w:rsidRPr="006605FD" w:rsidRDefault="006605FD" w:rsidP="00776757">
      <w:pPr>
        <w:pStyle w:val="NormalWeb"/>
        <w:shd w:val="clear" w:color="auto" w:fill="FFFFFF"/>
        <w:spacing w:before="120" w:beforeAutospacing="0" w:after="120" w:afterAutospacing="0"/>
        <w:ind w:firstLine="360"/>
        <w:jc w:val="both"/>
        <w:rPr>
          <w:sz w:val="20"/>
          <w:szCs w:val="20"/>
        </w:rPr>
      </w:pPr>
      <w:r w:rsidRPr="006605FD">
        <w:rPr>
          <w:sz w:val="20"/>
          <w:szCs w:val="20"/>
        </w:rPr>
        <w:t xml:space="preserve">Following the preliminary results presented in Section 3, which exhibited two undesirable notch frequencies due to inaccuracies in the initial cavity dimensions and inter-cavity spacing, a systematic optimization of ENOCH </w:t>
      </w:r>
      <w:r w:rsidRPr="006605FD">
        <w:rPr>
          <w:sz w:val="20"/>
          <w:szCs w:val="20"/>
        </w:rPr>
        <w:lastRenderedPageBreak/>
        <w:t>(Electromagnetic Notch Filters for Electron Cyclotron Heating) was performed. The primary optimization objectives were fourfold: first, to eliminate the dual-notch behavior and achieve a single, deep rejection notch at exactly 170 GHz; second, to maximize the rejection depth at the ECH interference frequency; third, to minimize insertion loss across the high priority 134–166 GHz diagnostic passband; and fourth, to maintain manufacturability within standard CNC machining tolerances.</w:t>
      </w:r>
    </w:p>
    <w:p w14:paraId="49E5DFE7" w14:textId="3CB52EF6" w:rsidR="00F7555B" w:rsidRDefault="00F7555B" w:rsidP="00776757">
      <w:pPr>
        <w:pStyle w:val="NormalWeb"/>
        <w:shd w:val="clear" w:color="auto" w:fill="FFFFFF"/>
        <w:spacing w:before="120" w:beforeAutospacing="0" w:after="120" w:afterAutospacing="0"/>
        <w:jc w:val="both"/>
        <w:rPr>
          <w:sz w:val="20"/>
          <w:szCs w:val="20"/>
          <w:lang w:eastAsia="zh-CN"/>
        </w:rPr>
      </w:pPr>
      <w:r>
        <w:rPr>
          <w:noProof/>
        </w:rPr>
        <w:drawing>
          <wp:inline distT="114300" distB="114300" distL="114300" distR="114300" wp14:anchorId="0DD7700F" wp14:editId="700A2941">
            <wp:extent cx="3017520" cy="1644076"/>
            <wp:effectExtent l="0" t="0" r="508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017520" cy="1644076"/>
                    </a:xfrm>
                    <a:prstGeom prst="rect">
                      <a:avLst/>
                    </a:prstGeom>
                    <a:ln/>
                  </pic:spPr>
                </pic:pic>
              </a:graphicData>
            </a:graphic>
          </wp:inline>
        </w:drawing>
      </w:r>
    </w:p>
    <w:p w14:paraId="5FE772AD" w14:textId="7B9DBF48" w:rsidR="00F7555B" w:rsidRDefault="00F7555B" w:rsidP="00776757">
      <w:pPr>
        <w:pStyle w:val="NormalWeb"/>
        <w:shd w:val="clear" w:color="auto" w:fill="FFFFFF"/>
        <w:spacing w:before="120" w:beforeAutospacing="0" w:after="120" w:afterAutospacing="0"/>
        <w:jc w:val="both"/>
        <w:rPr>
          <w:sz w:val="16"/>
          <w:szCs w:val="16"/>
          <w:lang w:eastAsia="zh-CN"/>
        </w:rPr>
      </w:pPr>
      <w:r w:rsidRPr="0037625F">
        <w:rPr>
          <w:sz w:val="16"/>
          <w:szCs w:val="16"/>
        </w:rPr>
        <w:t xml:space="preserve">FIG. </w:t>
      </w:r>
      <w:r>
        <w:rPr>
          <w:rFonts w:hint="eastAsia"/>
          <w:sz w:val="16"/>
          <w:szCs w:val="16"/>
          <w:lang w:eastAsia="zh-CN"/>
        </w:rPr>
        <w:t>5</w:t>
      </w:r>
      <w:r w:rsidRPr="0037625F">
        <w:rPr>
          <w:sz w:val="16"/>
          <w:szCs w:val="16"/>
        </w:rPr>
        <w:t xml:space="preserve">. </w:t>
      </w:r>
      <w:r w:rsidR="00694D4A" w:rsidRPr="00694D4A">
        <w:rPr>
          <w:sz w:val="16"/>
          <w:szCs w:val="16"/>
        </w:rPr>
        <w:t>Three-dimensional model of the optimized ENOCH notch filter showing the eight coupled resonant cavities integrated into a WR-06 waveguide structure</w:t>
      </w:r>
      <w:r>
        <w:rPr>
          <w:rFonts w:hint="eastAsia"/>
          <w:sz w:val="16"/>
          <w:szCs w:val="16"/>
          <w:lang w:eastAsia="zh-CN"/>
        </w:rPr>
        <w:t>.</w:t>
      </w:r>
    </w:p>
    <w:p w14:paraId="434D9654" w14:textId="77777777" w:rsidR="00694D4A" w:rsidRDefault="00694D4A" w:rsidP="00694D4A">
      <w:pPr>
        <w:pStyle w:val="NormalWeb"/>
        <w:shd w:val="clear" w:color="auto" w:fill="FFFFFF"/>
        <w:spacing w:before="120" w:beforeAutospacing="0" w:after="120" w:afterAutospacing="0"/>
        <w:ind w:firstLine="360"/>
        <w:jc w:val="both"/>
        <w:rPr>
          <w:sz w:val="20"/>
          <w:szCs w:val="20"/>
          <w:lang w:eastAsia="zh-CN"/>
        </w:rPr>
      </w:pPr>
      <w:r w:rsidRPr="006605FD">
        <w:rPr>
          <w:sz w:val="20"/>
          <w:szCs w:val="20"/>
        </w:rPr>
        <w:t>Two geometrical parameters were identified as critical for achieving these objectives: the inter-cavity gap distance (L) and the cavity diameter (D). The gap distance was adjusted from 2.450 mm to 2.550 mm, while the cavity diameter was fine-tuned from 1.900 mm to 1.871 mm. All other structural parameters, including the cavity height (h = 1.700 mm) and the coupling slit dimensions (width = 0.530 mm, height = 1.506 mm, depth = 0.478 mm), were retained from the preliminary design, as they already satisfied the aspect ratio requirement of less than 3 for manufacturability. Table I summarizes the key structural parameters of ENOCH across the preliminary and optimized iterations.</w:t>
      </w:r>
    </w:p>
    <w:p w14:paraId="187B839A" w14:textId="46304C96" w:rsidR="00F7555B" w:rsidRDefault="00F7555B" w:rsidP="00776757">
      <w:pPr>
        <w:pStyle w:val="NormalWeb"/>
        <w:shd w:val="clear" w:color="auto" w:fill="FFFFFF"/>
        <w:spacing w:before="120" w:beforeAutospacing="0" w:after="120" w:afterAutospacing="0"/>
        <w:jc w:val="both"/>
        <w:rPr>
          <w:sz w:val="20"/>
          <w:szCs w:val="20"/>
          <w:lang w:eastAsia="zh-CN"/>
        </w:rPr>
      </w:pPr>
      <w:r>
        <w:rPr>
          <w:noProof/>
        </w:rPr>
        <w:drawing>
          <wp:inline distT="114300" distB="114300" distL="114300" distR="114300" wp14:anchorId="45F6E325" wp14:editId="0A3B3E45">
            <wp:extent cx="3017520" cy="1813036"/>
            <wp:effectExtent l="0" t="0" r="5080" b="3175"/>
            <wp:docPr id="5676995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017520" cy="1813036"/>
                    </a:xfrm>
                    <a:prstGeom prst="rect">
                      <a:avLst/>
                    </a:prstGeom>
                    <a:ln/>
                  </pic:spPr>
                </pic:pic>
              </a:graphicData>
            </a:graphic>
          </wp:inline>
        </w:drawing>
      </w:r>
    </w:p>
    <w:p w14:paraId="1D94BA9C" w14:textId="41581F2F" w:rsidR="00F7555B" w:rsidRPr="006605FD" w:rsidRDefault="00F7555B" w:rsidP="00776757">
      <w:pPr>
        <w:pStyle w:val="NormalWeb"/>
        <w:shd w:val="clear" w:color="auto" w:fill="FFFFFF"/>
        <w:spacing w:before="120" w:beforeAutospacing="0" w:after="120" w:afterAutospacing="0"/>
        <w:jc w:val="both"/>
        <w:rPr>
          <w:sz w:val="20"/>
          <w:szCs w:val="20"/>
          <w:lang w:eastAsia="zh-CN"/>
        </w:rPr>
      </w:pPr>
      <w:r w:rsidRPr="0037625F">
        <w:rPr>
          <w:sz w:val="16"/>
          <w:szCs w:val="16"/>
        </w:rPr>
        <w:t xml:space="preserve">FIG. </w:t>
      </w:r>
      <w:r>
        <w:rPr>
          <w:rFonts w:hint="eastAsia"/>
          <w:sz w:val="16"/>
          <w:szCs w:val="16"/>
          <w:lang w:eastAsia="zh-CN"/>
        </w:rPr>
        <w:t>6</w:t>
      </w:r>
      <w:r w:rsidRPr="0037625F">
        <w:rPr>
          <w:sz w:val="16"/>
          <w:szCs w:val="16"/>
        </w:rPr>
        <w:t xml:space="preserve">. </w:t>
      </w:r>
      <w:r w:rsidRPr="00F7555B">
        <w:rPr>
          <w:sz w:val="16"/>
          <w:szCs w:val="16"/>
        </w:rPr>
        <w:t>Preliminary design simulation performance with notch band fully covers 170 GHz. The 3 dB bandwidth is around 6 GHz (168 to 173 GHz). The 60 dB bandwidth is approximately 3.15 GHz (168.90 to 172.05 GHz)</w:t>
      </w:r>
      <w:r>
        <w:rPr>
          <w:rFonts w:hint="eastAsia"/>
          <w:sz w:val="16"/>
          <w:szCs w:val="16"/>
          <w:lang w:eastAsia="zh-CN"/>
        </w:rPr>
        <w:t>.</w:t>
      </w:r>
    </w:p>
    <w:p w14:paraId="7EF00289" w14:textId="452DFA5E" w:rsidR="00694D4A" w:rsidRPr="006605FD" w:rsidRDefault="006605FD" w:rsidP="00694D4A">
      <w:pPr>
        <w:pStyle w:val="NormalWeb"/>
        <w:shd w:val="clear" w:color="auto" w:fill="FFFFFF"/>
        <w:spacing w:before="120" w:beforeAutospacing="0" w:after="120" w:afterAutospacing="0"/>
        <w:ind w:firstLine="360"/>
        <w:jc w:val="both"/>
        <w:rPr>
          <w:sz w:val="20"/>
          <w:szCs w:val="20"/>
          <w:lang w:eastAsia="zh-CN"/>
        </w:rPr>
      </w:pPr>
      <w:r w:rsidRPr="006605FD">
        <w:rPr>
          <w:sz w:val="20"/>
          <w:szCs w:val="20"/>
        </w:rPr>
        <w:t xml:space="preserve">Concurrently, ENOCH maintains outstanding passband performance across the 134–166 GHz diagnostic window, with a maximum insertion loss of only 0.85 </w:t>
      </w:r>
      <w:proofErr w:type="spellStart"/>
      <w:r w:rsidRPr="006605FD">
        <w:rPr>
          <w:sz w:val="20"/>
          <w:szCs w:val="20"/>
        </w:rPr>
        <w:t>dB.</w:t>
      </w:r>
      <w:proofErr w:type="spellEnd"/>
      <w:r w:rsidRPr="006605FD">
        <w:rPr>
          <w:sz w:val="20"/>
          <w:szCs w:val="20"/>
        </w:rPr>
        <w:t xml:space="preserve"> This ensures a high signal-to-noise ratio for diagnostic measurements such as Microwave Reflectometry (MR), </w:t>
      </w:r>
      <w:r w:rsidRPr="006605FD">
        <w:rPr>
          <w:sz w:val="20"/>
          <w:szCs w:val="20"/>
        </w:rPr>
        <w:t xml:space="preserve">Electron Cyclotron Emission (ECE), Collective Thomson Scattering (CTS), and Doppler Backscattering (DBS). The iterative optimization delivered two key performance improvements: first, the elimination of the dual-notch frequencies in favor of a single, deep notch at 170 GHz with rejection exceeding 90 dB; and second, stabilization of the passband flatness across the 134–166 GHz window, with ripples restricted below 1.5 </w:t>
      </w:r>
      <w:proofErr w:type="spellStart"/>
      <w:r w:rsidRPr="006605FD">
        <w:rPr>
          <w:sz w:val="20"/>
          <w:szCs w:val="20"/>
        </w:rPr>
        <w:t>dB.</w:t>
      </w:r>
      <w:proofErr w:type="spellEnd"/>
    </w:p>
    <w:p w14:paraId="7CB3206D" w14:textId="354B1E0D" w:rsidR="00694D4A" w:rsidRDefault="00694D4A" w:rsidP="00694D4A">
      <w:pPr>
        <w:pStyle w:val="NormalWeb"/>
        <w:shd w:val="clear" w:color="auto" w:fill="FFFFFF"/>
        <w:spacing w:before="120" w:beforeAutospacing="0" w:after="120" w:afterAutospacing="0"/>
        <w:ind w:firstLine="360"/>
        <w:jc w:val="both"/>
        <w:rPr>
          <w:sz w:val="20"/>
          <w:szCs w:val="20"/>
          <w:lang w:eastAsia="zh-CN"/>
        </w:rPr>
      </w:pPr>
      <w:r w:rsidRPr="006605FD">
        <w:rPr>
          <w:sz w:val="20"/>
          <w:szCs w:val="20"/>
        </w:rPr>
        <w:t xml:space="preserve">The broadband transmission characteristics of the optimized design were </w:t>
      </w:r>
      <w:r>
        <w:rPr>
          <w:rFonts w:hint="eastAsia"/>
          <w:sz w:val="20"/>
          <w:szCs w:val="20"/>
          <w:lang w:eastAsia="zh-CN"/>
        </w:rPr>
        <w:t>simulat</w:t>
      </w:r>
      <w:r w:rsidRPr="006605FD">
        <w:rPr>
          <w:sz w:val="20"/>
          <w:szCs w:val="20"/>
        </w:rPr>
        <w:t xml:space="preserve">ed using CST Microwave Studio, and the resulting 3D model of the eight-cavity ENOCH structure is shown in Fig. </w:t>
      </w:r>
      <w:r>
        <w:rPr>
          <w:rFonts w:hint="eastAsia"/>
          <w:sz w:val="20"/>
          <w:szCs w:val="20"/>
          <w:lang w:eastAsia="zh-CN"/>
        </w:rPr>
        <w:t>5</w:t>
      </w:r>
      <w:r w:rsidRPr="006605FD">
        <w:rPr>
          <w:sz w:val="20"/>
          <w:szCs w:val="20"/>
        </w:rPr>
        <w:t xml:space="preserve">. The optimized design successfully meets all essential specifications for a 170 GHz notch filter. As shown in the full transmission spectrum (Fig. </w:t>
      </w:r>
      <w:r>
        <w:rPr>
          <w:rFonts w:hint="eastAsia"/>
          <w:sz w:val="20"/>
          <w:szCs w:val="20"/>
          <w:lang w:eastAsia="zh-CN"/>
        </w:rPr>
        <w:t>6</w:t>
      </w:r>
      <w:r w:rsidRPr="006605FD">
        <w:rPr>
          <w:sz w:val="20"/>
          <w:szCs w:val="20"/>
        </w:rPr>
        <w:t xml:space="preserve">), this final iteration achieves a notch depth of 94.5 dB at 170 GHz, providing excellent suppression of the ECH interference signal before it can reach the sensitive downstream detectors. This represents a significant improvement over the preliminary design, which exhibited two distinct notch frequencies; the optimization successfully removed the dual-notch behavior while maintaining a deep rejection exceeding 90 </w:t>
      </w:r>
      <w:proofErr w:type="spellStart"/>
      <w:r w:rsidRPr="006605FD">
        <w:rPr>
          <w:sz w:val="20"/>
          <w:szCs w:val="20"/>
        </w:rPr>
        <w:t>dB.</w:t>
      </w:r>
      <w:proofErr w:type="spellEnd"/>
    </w:p>
    <w:p w14:paraId="3C775F0E" w14:textId="4A8680B7" w:rsidR="00F7555B" w:rsidRDefault="00F7555B" w:rsidP="00776757">
      <w:pPr>
        <w:pStyle w:val="NormalWeb"/>
        <w:shd w:val="clear" w:color="auto" w:fill="FFFFFF"/>
        <w:spacing w:before="120" w:beforeAutospacing="0" w:after="120" w:afterAutospacing="0"/>
        <w:jc w:val="both"/>
        <w:rPr>
          <w:sz w:val="19"/>
          <w:szCs w:val="19"/>
          <w:lang w:eastAsia="zh-CN"/>
        </w:rPr>
      </w:pPr>
      <w:r w:rsidRPr="0037625F">
        <w:rPr>
          <w:sz w:val="19"/>
          <w:szCs w:val="19"/>
        </w:rPr>
        <w:t xml:space="preserve">TABLE I. </w:t>
      </w:r>
      <w:r w:rsidRPr="00F7555B">
        <w:rPr>
          <w:sz w:val="19"/>
          <w:szCs w:val="19"/>
        </w:rPr>
        <w:t>Structural Parameters of ENOCH across Optimization Iterations</w:t>
      </w:r>
      <w:r w:rsidRPr="0037625F">
        <w:rPr>
          <w:sz w:val="19"/>
          <w:szCs w:val="19"/>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6"/>
        <w:gridCol w:w="1186"/>
      </w:tblGrid>
      <w:tr w:rsidR="00086623" w14:paraId="1A0E3687" w14:textId="77777777" w:rsidTr="00086623">
        <w:tc>
          <w:tcPr>
            <w:tcW w:w="1185" w:type="dxa"/>
            <w:tcBorders>
              <w:top w:val="single" w:sz="18" w:space="0" w:color="000000"/>
              <w:bottom w:val="single" w:sz="18" w:space="0" w:color="000000"/>
            </w:tcBorders>
            <w:vAlign w:val="center"/>
          </w:tcPr>
          <w:p w14:paraId="1252C760" w14:textId="597F070D"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b/>
                <w:bCs/>
                <w:color w:val="000000" w:themeColor="text1"/>
                <w:sz w:val="16"/>
                <w:szCs w:val="16"/>
              </w:rPr>
              <w:t>Parameter</w:t>
            </w:r>
          </w:p>
        </w:tc>
        <w:tc>
          <w:tcPr>
            <w:tcW w:w="1185" w:type="dxa"/>
            <w:tcBorders>
              <w:top w:val="single" w:sz="18" w:space="0" w:color="000000"/>
              <w:bottom w:val="single" w:sz="18" w:space="0" w:color="000000"/>
            </w:tcBorders>
            <w:vAlign w:val="center"/>
          </w:tcPr>
          <w:p w14:paraId="0CB76EB1" w14:textId="6E429AFF"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b/>
                <w:bCs/>
                <w:color w:val="000000" w:themeColor="text1"/>
                <w:sz w:val="16"/>
                <w:szCs w:val="16"/>
              </w:rPr>
              <w:t>Description</w:t>
            </w:r>
          </w:p>
        </w:tc>
        <w:tc>
          <w:tcPr>
            <w:tcW w:w="1186" w:type="dxa"/>
            <w:tcBorders>
              <w:top w:val="single" w:sz="18" w:space="0" w:color="000000"/>
              <w:bottom w:val="single" w:sz="18" w:space="0" w:color="000000"/>
            </w:tcBorders>
            <w:vAlign w:val="center"/>
          </w:tcPr>
          <w:p w14:paraId="741E3458" w14:textId="0C4110B7"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b/>
                <w:bCs/>
                <w:color w:val="000000" w:themeColor="text1"/>
                <w:sz w:val="16"/>
                <w:szCs w:val="16"/>
              </w:rPr>
              <w:t>Preliminary Design</w:t>
            </w:r>
          </w:p>
        </w:tc>
        <w:tc>
          <w:tcPr>
            <w:tcW w:w="1186" w:type="dxa"/>
            <w:tcBorders>
              <w:top w:val="single" w:sz="18" w:space="0" w:color="000000"/>
              <w:bottom w:val="single" w:sz="18" w:space="0" w:color="000000"/>
            </w:tcBorders>
            <w:vAlign w:val="center"/>
          </w:tcPr>
          <w:p w14:paraId="45CB0F13" w14:textId="372AFB7F"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b/>
                <w:bCs/>
                <w:color w:val="000000" w:themeColor="text1"/>
                <w:sz w:val="16"/>
                <w:szCs w:val="16"/>
              </w:rPr>
              <w:t>Optimized Design</w:t>
            </w:r>
          </w:p>
        </w:tc>
      </w:tr>
      <w:tr w:rsidR="00086623" w14:paraId="1ECAF8F3" w14:textId="77777777" w:rsidTr="00086623">
        <w:trPr>
          <w:trHeight w:val="279"/>
        </w:trPr>
        <w:tc>
          <w:tcPr>
            <w:tcW w:w="1185" w:type="dxa"/>
            <w:tcBorders>
              <w:top w:val="single" w:sz="18" w:space="0" w:color="000000"/>
            </w:tcBorders>
            <w:vAlign w:val="center"/>
          </w:tcPr>
          <w:p w14:paraId="2E4E9EBA" w14:textId="06FF07C3"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h (mm)</w:t>
            </w:r>
          </w:p>
        </w:tc>
        <w:tc>
          <w:tcPr>
            <w:tcW w:w="1185" w:type="dxa"/>
            <w:tcBorders>
              <w:top w:val="single" w:sz="18" w:space="0" w:color="000000"/>
            </w:tcBorders>
            <w:vAlign w:val="center"/>
          </w:tcPr>
          <w:p w14:paraId="192C1C91" w14:textId="00D98867"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Cavity Height</w:t>
            </w:r>
          </w:p>
        </w:tc>
        <w:tc>
          <w:tcPr>
            <w:tcW w:w="1186" w:type="dxa"/>
            <w:tcBorders>
              <w:top w:val="single" w:sz="18" w:space="0" w:color="000000"/>
            </w:tcBorders>
            <w:vAlign w:val="center"/>
          </w:tcPr>
          <w:p w14:paraId="4C5095BB" w14:textId="3452929D"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1.700</w:t>
            </w:r>
          </w:p>
        </w:tc>
        <w:tc>
          <w:tcPr>
            <w:tcW w:w="1186" w:type="dxa"/>
            <w:tcBorders>
              <w:top w:val="single" w:sz="18" w:space="0" w:color="000000"/>
            </w:tcBorders>
            <w:vAlign w:val="center"/>
          </w:tcPr>
          <w:p w14:paraId="4A8D0378" w14:textId="5ECF578B"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1.700</w:t>
            </w:r>
          </w:p>
        </w:tc>
      </w:tr>
      <w:tr w:rsidR="00086623" w14:paraId="02020125" w14:textId="77777777" w:rsidTr="00086623">
        <w:tc>
          <w:tcPr>
            <w:tcW w:w="1185" w:type="dxa"/>
            <w:vAlign w:val="center"/>
          </w:tcPr>
          <w:p w14:paraId="6BBD3A65" w14:textId="535E51EA"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L (mm)</w:t>
            </w:r>
          </w:p>
        </w:tc>
        <w:tc>
          <w:tcPr>
            <w:tcW w:w="1185" w:type="dxa"/>
            <w:vAlign w:val="center"/>
          </w:tcPr>
          <w:p w14:paraId="557636C4" w14:textId="64795B24"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Inter-cavity Gap</w:t>
            </w:r>
          </w:p>
        </w:tc>
        <w:tc>
          <w:tcPr>
            <w:tcW w:w="1186" w:type="dxa"/>
            <w:vAlign w:val="center"/>
          </w:tcPr>
          <w:p w14:paraId="331FE3A2" w14:textId="1EAA6BD1"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2.450</w:t>
            </w:r>
          </w:p>
        </w:tc>
        <w:tc>
          <w:tcPr>
            <w:tcW w:w="1186" w:type="dxa"/>
            <w:vAlign w:val="center"/>
          </w:tcPr>
          <w:p w14:paraId="696C7CF0" w14:textId="0AF6EE72"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2.550</w:t>
            </w:r>
          </w:p>
        </w:tc>
      </w:tr>
      <w:tr w:rsidR="00086623" w14:paraId="28268DB2" w14:textId="77777777" w:rsidTr="00086623">
        <w:tc>
          <w:tcPr>
            <w:tcW w:w="1185" w:type="dxa"/>
            <w:vAlign w:val="center"/>
          </w:tcPr>
          <w:p w14:paraId="21F2A8E2" w14:textId="3E2643C3"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D (mm)</w:t>
            </w:r>
          </w:p>
        </w:tc>
        <w:tc>
          <w:tcPr>
            <w:tcW w:w="1185" w:type="dxa"/>
            <w:vAlign w:val="center"/>
          </w:tcPr>
          <w:p w14:paraId="7545A1AB" w14:textId="5D025A18"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Cavity Diameter</w:t>
            </w:r>
          </w:p>
        </w:tc>
        <w:tc>
          <w:tcPr>
            <w:tcW w:w="1186" w:type="dxa"/>
            <w:vAlign w:val="center"/>
          </w:tcPr>
          <w:p w14:paraId="0B581D7A" w14:textId="3E4724C8"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1.900</w:t>
            </w:r>
          </w:p>
        </w:tc>
        <w:tc>
          <w:tcPr>
            <w:tcW w:w="1186" w:type="dxa"/>
            <w:vAlign w:val="center"/>
          </w:tcPr>
          <w:p w14:paraId="4E6F8AA4" w14:textId="4A5AF33C"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1.871</w:t>
            </w:r>
          </w:p>
        </w:tc>
      </w:tr>
      <w:tr w:rsidR="00086623" w14:paraId="7EEB4C36" w14:textId="77777777" w:rsidTr="00086623">
        <w:tc>
          <w:tcPr>
            <w:tcW w:w="1185" w:type="dxa"/>
            <w:vAlign w:val="center"/>
          </w:tcPr>
          <w:p w14:paraId="6A16B084" w14:textId="1E3211D3" w:rsidR="00086623" w:rsidRDefault="00086623" w:rsidP="00086623">
            <w:pPr>
              <w:pStyle w:val="NormalWeb"/>
              <w:spacing w:before="120" w:beforeAutospacing="0" w:after="120" w:afterAutospacing="0"/>
              <w:jc w:val="center"/>
              <w:rPr>
                <w:sz w:val="20"/>
                <w:szCs w:val="20"/>
                <w:lang w:eastAsia="zh-CN"/>
              </w:rPr>
            </w:pPr>
            <w:proofErr w:type="spellStart"/>
            <w:r w:rsidRPr="00F7555B">
              <w:rPr>
                <w:rFonts w:eastAsia="Times New Roman"/>
                <w:color w:val="000000" w:themeColor="text1"/>
                <w:sz w:val="16"/>
                <w:szCs w:val="16"/>
              </w:rPr>
              <w:t>Slit_w</w:t>
            </w:r>
            <w:proofErr w:type="spellEnd"/>
            <w:r w:rsidRPr="00F7555B">
              <w:rPr>
                <w:rFonts w:eastAsia="Times New Roman"/>
                <w:color w:val="000000" w:themeColor="text1"/>
                <w:sz w:val="16"/>
                <w:szCs w:val="16"/>
              </w:rPr>
              <w:t xml:space="preserve"> (mm)</w:t>
            </w:r>
          </w:p>
        </w:tc>
        <w:tc>
          <w:tcPr>
            <w:tcW w:w="1185" w:type="dxa"/>
            <w:vAlign w:val="center"/>
          </w:tcPr>
          <w:p w14:paraId="037EA368" w14:textId="01E29B01"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Slit Width</w:t>
            </w:r>
          </w:p>
        </w:tc>
        <w:tc>
          <w:tcPr>
            <w:tcW w:w="1186" w:type="dxa"/>
            <w:vAlign w:val="center"/>
          </w:tcPr>
          <w:p w14:paraId="2C4F6C07" w14:textId="6D61368C"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0.530</w:t>
            </w:r>
          </w:p>
        </w:tc>
        <w:tc>
          <w:tcPr>
            <w:tcW w:w="1186" w:type="dxa"/>
            <w:vAlign w:val="center"/>
          </w:tcPr>
          <w:p w14:paraId="7DF01890" w14:textId="45769A1D"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0.530</w:t>
            </w:r>
          </w:p>
        </w:tc>
      </w:tr>
      <w:tr w:rsidR="00086623" w14:paraId="176ED728" w14:textId="77777777" w:rsidTr="00086623">
        <w:tc>
          <w:tcPr>
            <w:tcW w:w="1185" w:type="dxa"/>
            <w:vAlign w:val="center"/>
          </w:tcPr>
          <w:p w14:paraId="23D7B638" w14:textId="720321AD" w:rsidR="00086623" w:rsidRDefault="00086623" w:rsidP="00086623">
            <w:pPr>
              <w:pStyle w:val="NormalWeb"/>
              <w:spacing w:before="120" w:beforeAutospacing="0" w:after="120" w:afterAutospacing="0"/>
              <w:jc w:val="center"/>
              <w:rPr>
                <w:sz w:val="20"/>
                <w:szCs w:val="20"/>
                <w:lang w:eastAsia="zh-CN"/>
              </w:rPr>
            </w:pPr>
            <w:proofErr w:type="spellStart"/>
            <w:r w:rsidRPr="00F7555B">
              <w:rPr>
                <w:rFonts w:eastAsia="Times New Roman"/>
                <w:color w:val="000000" w:themeColor="text1"/>
                <w:sz w:val="16"/>
                <w:szCs w:val="16"/>
              </w:rPr>
              <w:t>Slit_h</w:t>
            </w:r>
            <w:proofErr w:type="spellEnd"/>
            <w:r w:rsidRPr="00F7555B">
              <w:rPr>
                <w:rFonts w:eastAsia="Times New Roman"/>
                <w:color w:val="000000" w:themeColor="text1"/>
                <w:sz w:val="16"/>
                <w:szCs w:val="16"/>
              </w:rPr>
              <w:t xml:space="preserve"> (mm)</w:t>
            </w:r>
          </w:p>
        </w:tc>
        <w:tc>
          <w:tcPr>
            <w:tcW w:w="1185" w:type="dxa"/>
            <w:vAlign w:val="center"/>
          </w:tcPr>
          <w:p w14:paraId="25764CE6" w14:textId="7D2FCD33"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Slit Height</w:t>
            </w:r>
          </w:p>
        </w:tc>
        <w:tc>
          <w:tcPr>
            <w:tcW w:w="1186" w:type="dxa"/>
            <w:vAlign w:val="center"/>
          </w:tcPr>
          <w:p w14:paraId="4670E321" w14:textId="2DE01830"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1.506</w:t>
            </w:r>
          </w:p>
        </w:tc>
        <w:tc>
          <w:tcPr>
            <w:tcW w:w="1186" w:type="dxa"/>
            <w:vAlign w:val="center"/>
          </w:tcPr>
          <w:p w14:paraId="73C63F14" w14:textId="090CAA41"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1.506</w:t>
            </w:r>
          </w:p>
        </w:tc>
      </w:tr>
      <w:tr w:rsidR="00086623" w14:paraId="2E92473A" w14:textId="77777777" w:rsidTr="00086623">
        <w:tc>
          <w:tcPr>
            <w:tcW w:w="1185" w:type="dxa"/>
            <w:tcBorders>
              <w:bottom w:val="single" w:sz="18" w:space="0" w:color="000000"/>
            </w:tcBorders>
            <w:vAlign w:val="center"/>
          </w:tcPr>
          <w:p w14:paraId="1240DACC" w14:textId="45EC37A9" w:rsidR="00086623" w:rsidRDefault="00086623" w:rsidP="00086623">
            <w:pPr>
              <w:pStyle w:val="NormalWeb"/>
              <w:spacing w:before="120" w:beforeAutospacing="0" w:after="120" w:afterAutospacing="0"/>
              <w:jc w:val="center"/>
              <w:rPr>
                <w:sz w:val="20"/>
                <w:szCs w:val="20"/>
                <w:lang w:eastAsia="zh-CN"/>
              </w:rPr>
            </w:pPr>
            <w:proofErr w:type="spellStart"/>
            <w:r w:rsidRPr="00F7555B">
              <w:rPr>
                <w:rFonts w:eastAsia="Times New Roman"/>
                <w:color w:val="000000" w:themeColor="text1"/>
                <w:sz w:val="16"/>
                <w:szCs w:val="16"/>
              </w:rPr>
              <w:t>Slit_d</w:t>
            </w:r>
            <w:proofErr w:type="spellEnd"/>
            <w:r w:rsidRPr="00F7555B">
              <w:rPr>
                <w:rFonts w:eastAsia="Times New Roman"/>
                <w:color w:val="000000" w:themeColor="text1"/>
                <w:sz w:val="16"/>
                <w:szCs w:val="16"/>
              </w:rPr>
              <w:t xml:space="preserve"> (mm)</w:t>
            </w:r>
          </w:p>
        </w:tc>
        <w:tc>
          <w:tcPr>
            <w:tcW w:w="1185" w:type="dxa"/>
            <w:tcBorders>
              <w:bottom w:val="single" w:sz="18" w:space="0" w:color="000000"/>
            </w:tcBorders>
            <w:vAlign w:val="center"/>
          </w:tcPr>
          <w:p w14:paraId="5D167F9A" w14:textId="12202324" w:rsidR="00086623" w:rsidRDefault="00086623" w:rsidP="00086623">
            <w:pPr>
              <w:pStyle w:val="NormalWeb"/>
              <w:spacing w:before="120" w:beforeAutospacing="0" w:after="120" w:afterAutospacing="0"/>
              <w:jc w:val="center"/>
              <w:rPr>
                <w:sz w:val="20"/>
                <w:szCs w:val="20"/>
                <w:lang w:eastAsia="zh-CN"/>
              </w:rPr>
            </w:pPr>
            <w:proofErr w:type="spellStart"/>
            <w:r w:rsidRPr="00F7555B">
              <w:rPr>
                <w:rFonts w:eastAsia="Times New Roman"/>
                <w:color w:val="000000" w:themeColor="text1"/>
                <w:sz w:val="16"/>
                <w:szCs w:val="16"/>
              </w:rPr>
              <w:t>Slit_Depth</w:t>
            </w:r>
            <w:proofErr w:type="spellEnd"/>
          </w:p>
        </w:tc>
        <w:tc>
          <w:tcPr>
            <w:tcW w:w="1186" w:type="dxa"/>
            <w:tcBorders>
              <w:bottom w:val="single" w:sz="18" w:space="0" w:color="000000"/>
            </w:tcBorders>
            <w:vAlign w:val="center"/>
          </w:tcPr>
          <w:p w14:paraId="432A1954" w14:textId="75F0E043"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0.478</w:t>
            </w:r>
          </w:p>
        </w:tc>
        <w:tc>
          <w:tcPr>
            <w:tcW w:w="1186" w:type="dxa"/>
            <w:tcBorders>
              <w:bottom w:val="single" w:sz="18" w:space="0" w:color="000000"/>
            </w:tcBorders>
            <w:vAlign w:val="center"/>
          </w:tcPr>
          <w:p w14:paraId="411A71F3" w14:textId="34D84F6B" w:rsidR="00086623" w:rsidRDefault="00086623" w:rsidP="00086623">
            <w:pPr>
              <w:pStyle w:val="NormalWeb"/>
              <w:spacing w:before="120" w:beforeAutospacing="0" w:after="120" w:afterAutospacing="0"/>
              <w:jc w:val="center"/>
              <w:rPr>
                <w:sz w:val="20"/>
                <w:szCs w:val="20"/>
                <w:lang w:eastAsia="zh-CN"/>
              </w:rPr>
            </w:pPr>
            <w:r w:rsidRPr="00F7555B">
              <w:rPr>
                <w:rFonts w:eastAsia="Times New Roman"/>
                <w:color w:val="000000" w:themeColor="text1"/>
                <w:sz w:val="16"/>
                <w:szCs w:val="16"/>
              </w:rPr>
              <w:t>0.478</w:t>
            </w:r>
          </w:p>
        </w:tc>
      </w:tr>
    </w:tbl>
    <w:p w14:paraId="36F1FEA8" w14:textId="15B8FA5A" w:rsidR="00AB4D63"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rPr>
        <w:t xml:space="preserve">Beyond electromagnetic performance, the optimized geometry is fully compatible with existing CNC machining capabilities. The chosen dimensions ensure manufacturability, high production yield, and effective cost control, thereby guaranteeing a secure supply chain for the component. Figure </w:t>
      </w:r>
      <w:r w:rsidR="00357D0D">
        <w:rPr>
          <w:rFonts w:hint="eastAsia"/>
          <w:sz w:val="20"/>
          <w:szCs w:val="20"/>
          <w:lang w:eastAsia="zh-CN"/>
        </w:rPr>
        <w:t>5</w:t>
      </w:r>
      <w:r w:rsidRPr="006605FD">
        <w:rPr>
          <w:sz w:val="20"/>
          <w:szCs w:val="20"/>
        </w:rPr>
        <w:t xml:space="preserve"> presents the 3D model of the optimized eight-cavity ENOCH design, highlighting the precise arrangement of cavities and coupling slits that collectively enable the filter's superior rejection characteristics</w:t>
      </w:r>
      <w:r w:rsidR="00AB4D63" w:rsidRPr="00354705">
        <w:rPr>
          <w:sz w:val="20"/>
          <w:szCs w:val="20"/>
        </w:rPr>
        <w:t>.</w:t>
      </w:r>
    </w:p>
    <w:p w14:paraId="0A6F4B9B" w14:textId="42205831" w:rsidR="00694D4A" w:rsidRPr="00694D4A" w:rsidRDefault="00694D4A" w:rsidP="00694D4A">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In plasma diagnostic systems, spurious gyrotron signals at 170 GHz can reach </w:t>
      </w:r>
      <w:proofErr w:type="spellStart"/>
      <w:r>
        <w:rPr>
          <w:rFonts w:hint="eastAsia"/>
          <w:sz w:val="20"/>
          <w:szCs w:val="20"/>
          <w:lang w:eastAsia="zh-CN"/>
        </w:rPr>
        <w:t>extrmely</w:t>
      </w:r>
      <w:proofErr w:type="spellEnd"/>
      <w:r w:rsidRPr="006605FD">
        <w:rPr>
          <w:sz w:val="20"/>
          <w:szCs w:val="20"/>
          <w:lang w:eastAsia="zh-CN"/>
        </w:rPr>
        <w:t xml:space="preserve"> high-power levels, up to 20 MW in the burning plasma design. The inherently compact dimensions of high-frequency waveguides exacerbate this issue by limiting the available surface area for heat dissipation, making thermal management a critical concern for ENOCH. To evaluate the power handling capability of </w:t>
      </w:r>
      <w:r w:rsidRPr="006605FD">
        <w:rPr>
          <w:sz w:val="20"/>
          <w:szCs w:val="20"/>
          <w:lang w:eastAsia="zh-CN"/>
        </w:rPr>
        <w:lastRenderedPageBreak/>
        <w:t xml:space="preserve">the designed filter and anticipate potential operational failure, a dedicated thermal analysis was performed across various input power levels. At the resonant frequency, </w:t>
      </w:r>
      <w:proofErr w:type="gramStart"/>
      <w:r w:rsidRPr="006605FD">
        <w:rPr>
          <w:sz w:val="20"/>
          <w:szCs w:val="20"/>
          <w:lang w:eastAsia="zh-CN"/>
        </w:rPr>
        <w:t>the majority of</w:t>
      </w:r>
      <w:proofErr w:type="gramEnd"/>
      <w:r w:rsidRPr="006605FD">
        <w:rPr>
          <w:sz w:val="20"/>
          <w:szCs w:val="20"/>
          <w:lang w:eastAsia="zh-CN"/>
        </w:rPr>
        <w:t xml:space="preserve"> the input power is confined within the cavities; however, a fraction is dissipated as heat due to conduction currents on the inner cavity walls, leading to a temperature increase. </w:t>
      </w:r>
      <w:r w:rsidRPr="00EF338E">
        <w:rPr>
          <w:sz w:val="20"/>
          <w:szCs w:val="20"/>
          <w:lang w:eastAsia="zh-CN"/>
        </w:rPr>
        <w:t>The resulting ohmic loss strongly depends on the material conductivity</w:t>
      </w:r>
      <w:r w:rsidRPr="006605FD">
        <w:rPr>
          <w:sz w:val="20"/>
          <w:szCs w:val="20"/>
          <w:lang w:eastAsia="zh-CN"/>
        </w:rPr>
        <w:t>, making it a key factor in thermal performance.</w:t>
      </w:r>
    </w:p>
    <w:p w14:paraId="58B3F53B" w14:textId="474CDFC3" w:rsidR="00F7555B" w:rsidRDefault="00F7555B" w:rsidP="00776757">
      <w:pPr>
        <w:pStyle w:val="NormalWeb"/>
        <w:shd w:val="clear" w:color="auto" w:fill="FFFFFF"/>
        <w:spacing w:before="120" w:beforeAutospacing="0" w:after="120" w:afterAutospacing="0"/>
        <w:jc w:val="both"/>
        <w:rPr>
          <w:sz w:val="20"/>
          <w:szCs w:val="20"/>
          <w:lang w:eastAsia="zh-CN"/>
        </w:rPr>
      </w:pPr>
      <w:r>
        <w:rPr>
          <w:noProof/>
          <w:sz w:val="21"/>
          <w:szCs w:val="21"/>
        </w:rPr>
        <w:drawing>
          <wp:inline distT="0" distB="0" distL="0" distR="0" wp14:anchorId="6B310950" wp14:editId="2C5464A3">
            <wp:extent cx="3017520" cy="2000681"/>
            <wp:effectExtent l="0" t="0" r="5080" b="6350"/>
            <wp:docPr id="13015982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017520" cy="2000681"/>
                    </a:xfrm>
                    <a:prstGeom prst="rect">
                      <a:avLst/>
                    </a:prstGeom>
                    <a:ln/>
                  </pic:spPr>
                </pic:pic>
              </a:graphicData>
            </a:graphic>
          </wp:inline>
        </w:drawing>
      </w:r>
    </w:p>
    <w:p w14:paraId="1444D4DF" w14:textId="30EF7DEE" w:rsidR="00F7555B" w:rsidRDefault="00F7555B" w:rsidP="00776757">
      <w:pPr>
        <w:pStyle w:val="NormalWeb"/>
        <w:shd w:val="clear" w:color="auto" w:fill="FFFFFF"/>
        <w:spacing w:before="120" w:beforeAutospacing="0" w:after="120" w:afterAutospacing="0"/>
        <w:jc w:val="both"/>
        <w:rPr>
          <w:sz w:val="20"/>
          <w:szCs w:val="20"/>
          <w:lang w:eastAsia="zh-CN"/>
        </w:rPr>
      </w:pPr>
      <w:r w:rsidRPr="0037625F">
        <w:rPr>
          <w:sz w:val="16"/>
          <w:szCs w:val="16"/>
        </w:rPr>
        <w:t xml:space="preserve">FIG. </w:t>
      </w:r>
      <w:r>
        <w:rPr>
          <w:rFonts w:hint="eastAsia"/>
          <w:sz w:val="16"/>
          <w:szCs w:val="16"/>
          <w:lang w:eastAsia="zh-CN"/>
        </w:rPr>
        <w:t>7</w:t>
      </w:r>
      <w:r w:rsidRPr="0037625F">
        <w:rPr>
          <w:sz w:val="16"/>
          <w:szCs w:val="16"/>
        </w:rPr>
        <w:t xml:space="preserve">. </w:t>
      </w:r>
      <w:r w:rsidR="00694D4A" w:rsidRPr="00694D4A">
        <w:rPr>
          <w:sz w:val="16"/>
          <w:szCs w:val="16"/>
        </w:rPr>
        <w:t xml:space="preserve">Simulated maximum inner wall temperature of the ENOCH filter as a function of continuous RF input power under natural convection cooling. The red dots represent the Ansys </w:t>
      </w:r>
      <w:proofErr w:type="spellStart"/>
      <w:r w:rsidR="00694D4A" w:rsidRPr="00694D4A">
        <w:rPr>
          <w:sz w:val="16"/>
          <w:szCs w:val="16"/>
        </w:rPr>
        <w:t>Icepak</w:t>
      </w:r>
      <w:proofErr w:type="spellEnd"/>
      <w:r w:rsidR="00694D4A" w:rsidRPr="00694D4A">
        <w:rPr>
          <w:sz w:val="16"/>
          <w:szCs w:val="16"/>
        </w:rPr>
        <w:t xml:space="preserve"> simulation results, while the solid curve indicates the fitted thermal trend</w:t>
      </w:r>
      <w:r>
        <w:rPr>
          <w:rFonts w:hint="eastAsia"/>
          <w:sz w:val="16"/>
          <w:szCs w:val="16"/>
          <w:lang w:eastAsia="zh-CN"/>
        </w:rPr>
        <w:t>.</w:t>
      </w:r>
    </w:p>
    <w:p w14:paraId="7048E973" w14:textId="3E620A7C" w:rsidR="006605FD" w:rsidRPr="006605FD"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A multi-physics simulation coupling electromagnetic (EM) and steady-state thermal analyses was conducted using Ansys </w:t>
      </w:r>
      <w:proofErr w:type="spellStart"/>
      <w:r w:rsidRPr="006605FD">
        <w:rPr>
          <w:sz w:val="20"/>
          <w:szCs w:val="20"/>
          <w:lang w:eastAsia="zh-CN"/>
        </w:rPr>
        <w:t>Icepak</w:t>
      </w:r>
      <w:proofErr w:type="spellEnd"/>
      <w:r w:rsidR="00357D0D">
        <w:rPr>
          <w:rFonts w:hint="eastAsia"/>
          <w:sz w:val="20"/>
          <w:szCs w:val="20"/>
          <w:lang w:eastAsia="zh-CN"/>
        </w:rPr>
        <w:t xml:space="preserve"> </w:t>
      </w:r>
      <w:r w:rsidR="00357D0D" w:rsidRPr="00357D0D">
        <w:rPr>
          <w:sz w:val="20"/>
          <w:szCs w:val="20"/>
          <w:vertAlign w:val="superscript"/>
          <w:lang w:eastAsia="zh-CN"/>
        </w:rPr>
        <w:fldChar w:fldCharType="begin"/>
      </w:r>
      <w:r w:rsidR="00357D0D" w:rsidRPr="00357D0D">
        <w:rPr>
          <w:sz w:val="20"/>
          <w:szCs w:val="20"/>
          <w:vertAlign w:val="superscript"/>
          <w:lang w:eastAsia="zh-CN"/>
        </w:rPr>
        <w:instrText xml:space="preserve"> </w:instrText>
      </w:r>
      <w:r w:rsidR="00357D0D" w:rsidRPr="00357D0D">
        <w:rPr>
          <w:rFonts w:hint="eastAsia"/>
          <w:sz w:val="20"/>
          <w:szCs w:val="20"/>
          <w:vertAlign w:val="superscript"/>
          <w:lang w:eastAsia="zh-CN"/>
        </w:rPr>
        <w:instrText>REF _Ref231913615 \r \h</w:instrText>
      </w:r>
      <w:r w:rsidR="00357D0D" w:rsidRPr="00357D0D">
        <w:rPr>
          <w:sz w:val="20"/>
          <w:szCs w:val="20"/>
          <w:vertAlign w:val="superscript"/>
          <w:lang w:eastAsia="zh-CN"/>
        </w:rPr>
        <w:instrText xml:space="preserve"> </w:instrText>
      </w:r>
      <w:r w:rsidR="00357D0D">
        <w:rPr>
          <w:sz w:val="20"/>
          <w:szCs w:val="20"/>
          <w:vertAlign w:val="superscript"/>
          <w:lang w:eastAsia="zh-CN"/>
        </w:rPr>
        <w:instrText xml:space="preserve"> \* MERGEFORMAT </w:instrText>
      </w:r>
      <w:r w:rsidR="00357D0D" w:rsidRPr="00357D0D">
        <w:rPr>
          <w:sz w:val="20"/>
          <w:szCs w:val="20"/>
          <w:vertAlign w:val="superscript"/>
          <w:lang w:eastAsia="zh-CN"/>
        </w:rPr>
      </w:r>
      <w:r w:rsidR="00357D0D" w:rsidRPr="00357D0D">
        <w:rPr>
          <w:sz w:val="20"/>
          <w:szCs w:val="20"/>
          <w:vertAlign w:val="superscript"/>
          <w:lang w:eastAsia="zh-CN"/>
        </w:rPr>
        <w:fldChar w:fldCharType="separate"/>
      </w:r>
      <w:r w:rsidR="00A85A9A">
        <w:rPr>
          <w:sz w:val="20"/>
          <w:szCs w:val="20"/>
          <w:vertAlign w:val="superscript"/>
          <w:lang w:eastAsia="zh-CN"/>
        </w:rPr>
        <w:t>30</w:t>
      </w:r>
      <w:r w:rsidR="00357D0D" w:rsidRPr="00357D0D">
        <w:rPr>
          <w:sz w:val="20"/>
          <w:szCs w:val="20"/>
          <w:vertAlign w:val="superscript"/>
          <w:lang w:eastAsia="zh-CN"/>
        </w:rPr>
        <w:fldChar w:fldCharType="end"/>
      </w:r>
      <w:r w:rsidRPr="006605FD">
        <w:rPr>
          <w:sz w:val="20"/>
          <w:szCs w:val="20"/>
          <w:lang w:eastAsia="zh-CN"/>
        </w:rPr>
        <w:t xml:space="preserve">. The EM simulation first computed the field distribution and subsequent surface power loss within the copper filter structure. This power loss data was then imported into the Ansys </w:t>
      </w:r>
      <w:proofErr w:type="spellStart"/>
      <w:r w:rsidRPr="006605FD">
        <w:rPr>
          <w:sz w:val="20"/>
          <w:szCs w:val="20"/>
          <w:lang w:eastAsia="zh-CN"/>
        </w:rPr>
        <w:t>Icepak</w:t>
      </w:r>
      <w:proofErr w:type="spellEnd"/>
      <w:r w:rsidRPr="006605FD">
        <w:rPr>
          <w:sz w:val="20"/>
          <w:szCs w:val="20"/>
          <w:lang w:eastAsia="zh-CN"/>
        </w:rPr>
        <w:t xml:space="preserve"> solver as a heat source to evaluate the steady-state temperature rise, assuming an ambient temperature of 20°C with convective air cooling. </w:t>
      </w:r>
      <w:r w:rsidR="00694D4A" w:rsidRPr="00694D4A">
        <w:rPr>
          <w:sz w:val="20"/>
          <w:szCs w:val="20"/>
          <w:lang w:eastAsia="zh-CN"/>
        </w:rPr>
        <w:t>Although the gyrotron output can reach 20 MW, only a small fraction of reflected or stray power is expected to couple into the diagnostic front-end waveguide.</w:t>
      </w:r>
      <w:r w:rsidR="00694D4A">
        <w:rPr>
          <w:rFonts w:hint="eastAsia"/>
          <w:sz w:val="20"/>
          <w:szCs w:val="20"/>
          <w:lang w:eastAsia="zh-CN"/>
        </w:rPr>
        <w:t xml:space="preserve"> </w:t>
      </w:r>
      <w:r w:rsidRPr="006605FD">
        <w:rPr>
          <w:sz w:val="20"/>
          <w:szCs w:val="20"/>
          <w:lang w:eastAsia="zh-CN"/>
        </w:rPr>
        <w:t xml:space="preserve">Figure </w:t>
      </w:r>
      <w:r w:rsidR="00357D0D">
        <w:rPr>
          <w:rFonts w:hint="eastAsia"/>
          <w:sz w:val="20"/>
          <w:szCs w:val="20"/>
          <w:lang w:eastAsia="zh-CN"/>
        </w:rPr>
        <w:t>7</w:t>
      </w:r>
      <w:r w:rsidRPr="006605FD">
        <w:rPr>
          <w:sz w:val="20"/>
          <w:szCs w:val="20"/>
          <w:lang w:eastAsia="zh-CN"/>
        </w:rPr>
        <w:t xml:space="preserve"> shows the maximum inner wall temperature rise across a continuous RF power sweep from 0 to 100 W under air cooling only; the red dots represent the Ansys HFSS simulation results, while the smooth curve models the steady-state thermal trend toward the 100°C operational safety limit. As expected, the highest temperature is localized near the entrance of the first cavity, where the electromagnetic energy is most concentrated.</w:t>
      </w:r>
    </w:p>
    <w:p w14:paraId="672EE31F" w14:textId="5A7CC033" w:rsidR="006605FD" w:rsidRPr="00C205A6" w:rsidRDefault="006605FD" w:rsidP="00776757">
      <w:pPr>
        <w:pStyle w:val="NormalWeb"/>
        <w:shd w:val="clear" w:color="auto" w:fill="FFFFFF"/>
        <w:spacing w:before="120" w:beforeAutospacing="0" w:after="120" w:afterAutospacing="0"/>
        <w:ind w:firstLine="360"/>
        <w:jc w:val="both"/>
        <w:rPr>
          <w:sz w:val="20"/>
          <w:szCs w:val="20"/>
          <w:lang w:eastAsia="zh-CN"/>
        </w:rPr>
      </w:pPr>
      <w:r w:rsidRPr="006605FD">
        <w:rPr>
          <w:sz w:val="20"/>
          <w:szCs w:val="20"/>
          <w:lang w:eastAsia="zh-CN"/>
        </w:rPr>
        <w:t xml:space="preserve">The analysis reveals that for the current uncooled design, the filter's inner wall temperature reaches 97.9°C under a continuous input power of 100 W, satisfying the primary &lt;100°C constraint. However, if continuous input power scales beyond 100 W, temperatures exceed 100°C, risking voltage breakdown at the narrow coupling slots or causing performance-degrading thermal expansion. The relationship between input power (from 1 W to 100 W) and the resulting maximum inner wall temperature is quantified linearly in our multi-physics sweep, </w:t>
      </w:r>
      <w:r w:rsidR="00EF338E" w:rsidRPr="00EF338E">
        <w:rPr>
          <w:sz w:val="20"/>
          <w:szCs w:val="20"/>
          <w:lang w:eastAsia="zh-CN"/>
        </w:rPr>
        <w:t>confirming the thermal stability trend</w:t>
      </w:r>
      <w:r w:rsidRPr="006605FD">
        <w:rPr>
          <w:sz w:val="20"/>
          <w:szCs w:val="20"/>
          <w:lang w:eastAsia="zh-CN"/>
        </w:rPr>
        <w:t xml:space="preserve">. Therefore, for reliable operation at higher power levels, the implementation of additional heat sinking </w:t>
      </w:r>
      <w:r w:rsidRPr="006605FD">
        <w:rPr>
          <w:sz w:val="20"/>
          <w:szCs w:val="20"/>
          <w:lang w:eastAsia="zh-CN"/>
        </w:rPr>
        <w:t>on the filter's outer surface is recommended to enhance cooling.</w:t>
      </w:r>
    </w:p>
    <w:p w14:paraId="6156ED3E" w14:textId="71E22EE9" w:rsidR="0067457F" w:rsidRPr="003C3104" w:rsidRDefault="00703ABC" w:rsidP="00776757">
      <w:pPr>
        <w:pStyle w:val="NormalWeb"/>
        <w:shd w:val="clear" w:color="auto" w:fill="FFFFFF"/>
        <w:spacing w:before="120" w:beforeAutospacing="0" w:after="120" w:afterAutospacing="0"/>
        <w:jc w:val="both"/>
        <w:rPr>
          <w:rFonts w:ascii="Arial" w:hAnsi="Arial" w:cs="Arial"/>
          <w:b/>
          <w:bCs/>
          <w:sz w:val="19"/>
          <w:szCs w:val="19"/>
          <w:lang w:eastAsia="zh-CN"/>
        </w:rPr>
      </w:pPr>
      <w:r>
        <w:rPr>
          <w:rFonts w:ascii="Arial" w:hAnsi="Arial" w:cs="Arial"/>
          <w:b/>
          <w:bCs/>
          <w:sz w:val="19"/>
          <w:szCs w:val="19"/>
        </w:rPr>
        <w:t>V</w:t>
      </w:r>
      <w:r w:rsidR="0067457F" w:rsidRPr="003C3104">
        <w:rPr>
          <w:rFonts w:ascii="Arial" w:hAnsi="Arial" w:cs="Arial"/>
          <w:b/>
          <w:bCs/>
          <w:sz w:val="19"/>
          <w:szCs w:val="19"/>
        </w:rPr>
        <w:t xml:space="preserve">. </w:t>
      </w:r>
      <w:r w:rsidR="006605FD">
        <w:rPr>
          <w:rFonts w:ascii="Arial" w:hAnsi="Arial" w:cs="Arial" w:hint="eastAsia"/>
          <w:b/>
          <w:bCs/>
          <w:sz w:val="19"/>
          <w:szCs w:val="19"/>
          <w:lang w:eastAsia="zh-CN"/>
        </w:rPr>
        <w:t>CONCLUSION and OUTLOOK</w:t>
      </w:r>
    </w:p>
    <w:p w14:paraId="0FAB584D" w14:textId="630D2125" w:rsidR="006605FD" w:rsidRPr="006605FD" w:rsidRDefault="006605FD" w:rsidP="00776757">
      <w:pPr>
        <w:pStyle w:val="NormalWeb"/>
        <w:shd w:val="clear" w:color="auto" w:fill="FFFFFF"/>
        <w:spacing w:before="120" w:beforeAutospacing="0" w:after="120" w:afterAutospacing="0"/>
        <w:ind w:firstLine="360"/>
        <w:jc w:val="both"/>
        <w:rPr>
          <w:rStyle w:val="Strong"/>
          <w:b w:val="0"/>
          <w:sz w:val="20"/>
          <w:szCs w:val="20"/>
        </w:rPr>
      </w:pPr>
      <w:r w:rsidRPr="006605FD">
        <w:rPr>
          <w:rStyle w:val="Strong"/>
          <w:b w:val="0"/>
          <w:sz w:val="20"/>
          <w:szCs w:val="20"/>
        </w:rPr>
        <w:t>This paper has presented the design, optimization, and thermal analysis of ENOCH (Electromagnetic Notch Filters for Electron Cyclotron Heating</w:t>
      </w:r>
      <w:r w:rsidR="00EF338E" w:rsidRPr="006605FD">
        <w:rPr>
          <w:rStyle w:val="Strong"/>
          <w:b w:val="0"/>
          <w:sz w:val="20"/>
          <w:szCs w:val="20"/>
        </w:rPr>
        <w:t>),</w:t>
      </w:r>
      <w:r w:rsidRPr="006605FD">
        <w:rPr>
          <w:rStyle w:val="Strong"/>
          <w:b w:val="0"/>
          <w:sz w:val="20"/>
          <w:szCs w:val="20"/>
        </w:rPr>
        <w:t xml:space="preserve"> a novel 170 GHz waveguide-based notch filter engineered to protect sensitive microwave diagnostics from high-power ECH stray radiation in burning plasma devices. Implemented in a standard WR-06 waveguide with an eight-cavity resonant structure, the optimized ENOCH design achieves a rejection depth of 94.5 dB at the 170 GHz interference frequency while maintaining a low insertion loss of only 0.85 dB across the critical 134–166 GHz diagnostic passband. A multi-physics thermal analysis confirms that the uncooled filter withstands 100 W of continuous-wave input power with a maximum inner wall temperature of 97.9°C, satisfying the operational safety constraint of 100°C under natural convection cooling.</w:t>
      </w:r>
    </w:p>
    <w:p w14:paraId="5ED83B0A" w14:textId="32E8EB5B" w:rsidR="0067457F" w:rsidRPr="00C205A6" w:rsidRDefault="006605FD" w:rsidP="00776757">
      <w:pPr>
        <w:pStyle w:val="NormalWeb"/>
        <w:shd w:val="clear" w:color="auto" w:fill="FFFFFF"/>
        <w:spacing w:before="120" w:beforeAutospacing="0" w:after="120" w:afterAutospacing="0"/>
        <w:ind w:firstLine="360"/>
        <w:jc w:val="both"/>
        <w:rPr>
          <w:rStyle w:val="Strong"/>
          <w:b w:val="0"/>
          <w:sz w:val="20"/>
          <w:szCs w:val="20"/>
          <w:lang w:eastAsia="zh-CN"/>
        </w:rPr>
      </w:pPr>
      <w:r w:rsidRPr="006605FD">
        <w:rPr>
          <w:rStyle w:val="Strong"/>
          <w:b w:val="0"/>
          <w:sz w:val="20"/>
          <w:szCs w:val="20"/>
        </w:rPr>
        <w:t xml:space="preserve">The chosen geometry, including </w:t>
      </w:r>
      <w:proofErr w:type="gramStart"/>
      <w:r w:rsidRPr="006605FD">
        <w:rPr>
          <w:rStyle w:val="Strong"/>
          <w:b w:val="0"/>
          <w:sz w:val="20"/>
          <w:szCs w:val="20"/>
        </w:rPr>
        <w:t>an</w:t>
      </w:r>
      <w:proofErr w:type="gramEnd"/>
      <w:r w:rsidRPr="006605FD">
        <w:rPr>
          <w:rStyle w:val="Strong"/>
          <w:b w:val="0"/>
          <w:sz w:val="20"/>
          <w:szCs w:val="20"/>
        </w:rPr>
        <w:t xml:space="preserve"> cavity gap of 2.550 mm, </w:t>
      </w:r>
      <w:r w:rsidR="00EF338E">
        <w:rPr>
          <w:rStyle w:val="Strong"/>
          <w:rFonts w:hint="eastAsia"/>
          <w:b w:val="0"/>
          <w:sz w:val="20"/>
          <w:szCs w:val="20"/>
          <w:lang w:eastAsia="zh-CN"/>
        </w:rPr>
        <w:t xml:space="preserve">a </w:t>
      </w:r>
      <w:r w:rsidRPr="006605FD">
        <w:rPr>
          <w:rStyle w:val="Strong"/>
          <w:b w:val="0"/>
          <w:sz w:val="20"/>
          <w:szCs w:val="20"/>
        </w:rPr>
        <w:t xml:space="preserve">cavity diameter of 1.871 mm, is fully compatible with standard CNC machining, ensuring manufacturability, high yield, and cost-effectiveness. The successful demonstration of ENOCH establishes a critical enabling technology for microwave diagnostics in ITER- and ARC-class tokamaks. </w:t>
      </w:r>
      <w:r w:rsidR="00EF338E" w:rsidRPr="00EF338E">
        <w:rPr>
          <w:rStyle w:val="Strong"/>
          <w:b w:val="0"/>
          <w:sz w:val="20"/>
          <w:szCs w:val="20"/>
        </w:rPr>
        <w:t>Future work will focus on prototype fabrication and high-power experimental validation to transition the design from simulation to experimental implementation</w:t>
      </w:r>
      <w:r w:rsidRPr="006605FD">
        <w:rPr>
          <w:rStyle w:val="Strong"/>
          <w:b w:val="0"/>
          <w:sz w:val="20"/>
          <w:szCs w:val="20"/>
        </w:rPr>
        <w:t>, with further extensions envisioned for even higher ECH power regimes exceeding 20 MW.</w:t>
      </w:r>
    </w:p>
    <w:p w14:paraId="0670F602" w14:textId="15095A31" w:rsidR="0067457F" w:rsidRPr="003C3104" w:rsidRDefault="00703ABC" w:rsidP="00776757">
      <w:pPr>
        <w:pStyle w:val="NormalWeb"/>
        <w:shd w:val="clear" w:color="auto" w:fill="FFFFFF"/>
        <w:spacing w:before="120" w:beforeAutospacing="0" w:after="120" w:afterAutospacing="0"/>
        <w:jc w:val="both"/>
        <w:rPr>
          <w:rFonts w:ascii="Arial" w:hAnsi="Arial" w:cs="Arial"/>
          <w:b/>
          <w:bCs/>
          <w:sz w:val="19"/>
          <w:szCs w:val="19"/>
        </w:rPr>
      </w:pPr>
      <w:r>
        <w:rPr>
          <w:rFonts w:ascii="Arial" w:hAnsi="Arial" w:cs="Arial"/>
          <w:b/>
          <w:bCs/>
          <w:sz w:val="19"/>
          <w:szCs w:val="19"/>
        </w:rPr>
        <w:t>V</w:t>
      </w:r>
      <w:r w:rsidR="0067457F" w:rsidRPr="003C3104">
        <w:rPr>
          <w:rFonts w:ascii="Arial" w:hAnsi="Arial" w:cs="Arial"/>
          <w:b/>
          <w:bCs/>
          <w:sz w:val="19"/>
          <w:szCs w:val="19"/>
        </w:rPr>
        <w:t xml:space="preserve">I. </w:t>
      </w:r>
      <w:r w:rsidR="00776757" w:rsidRPr="003C3104">
        <w:rPr>
          <w:rFonts w:ascii="Arial" w:hAnsi="Arial"/>
          <w:b/>
          <w:sz w:val="19"/>
          <w:szCs w:val="19"/>
        </w:rPr>
        <w:t>ACKNOWLEDGMENTS</w:t>
      </w:r>
    </w:p>
    <w:p w14:paraId="79A5C29C" w14:textId="3A0ADFBF" w:rsidR="00776757" w:rsidRPr="00041084" w:rsidRDefault="00596145" w:rsidP="00776757">
      <w:pPr>
        <w:ind w:firstLine="360"/>
        <w:jc w:val="both"/>
        <w:rPr>
          <w:sz w:val="20"/>
          <w:szCs w:val="20"/>
        </w:rPr>
      </w:pPr>
      <w:r w:rsidRPr="00596145">
        <w:rPr>
          <w:sz w:val="20"/>
          <w:szCs w:val="20"/>
        </w:rPr>
        <w:t xml:space="preserve">This work is supported by the US Department of Energy under US DoE grant </w:t>
      </w:r>
      <w:r w:rsidR="00E330AF" w:rsidRPr="00E330AF">
        <w:rPr>
          <w:sz w:val="20"/>
          <w:szCs w:val="20"/>
        </w:rPr>
        <w:t>DE-SC0026427</w:t>
      </w:r>
      <w:r w:rsidR="00E330AF">
        <w:rPr>
          <w:sz w:val="20"/>
          <w:szCs w:val="20"/>
        </w:rPr>
        <w:t xml:space="preserve"> </w:t>
      </w:r>
      <w:r w:rsidRPr="00596145">
        <w:rPr>
          <w:sz w:val="20"/>
          <w:szCs w:val="20"/>
        </w:rPr>
        <w:t xml:space="preserve">and </w:t>
      </w:r>
      <w:r w:rsidR="00694D4A">
        <w:rPr>
          <w:rFonts w:hint="eastAsia"/>
          <w:sz w:val="20"/>
          <w:szCs w:val="20"/>
          <w:lang w:eastAsia="zh-CN"/>
        </w:rPr>
        <w:t xml:space="preserve">by </w:t>
      </w:r>
      <w:r w:rsidRPr="00596145">
        <w:rPr>
          <w:sz w:val="20"/>
          <w:szCs w:val="20"/>
        </w:rPr>
        <w:t>the FEAT Centre and STRIDE</w:t>
      </w:r>
      <w:r w:rsidR="00776757">
        <w:rPr>
          <w:sz w:val="20"/>
          <w:szCs w:val="20"/>
        </w:rPr>
        <w:t>.</w:t>
      </w:r>
    </w:p>
    <w:p w14:paraId="37492FF5" w14:textId="1AD26E73" w:rsidR="0067457F" w:rsidRPr="003C3104" w:rsidRDefault="00703ABC" w:rsidP="0067457F">
      <w:pPr>
        <w:pStyle w:val="NormalWeb"/>
        <w:shd w:val="clear" w:color="auto" w:fill="FFFFFF"/>
        <w:spacing w:after="120" w:afterAutospacing="0"/>
        <w:jc w:val="both"/>
        <w:rPr>
          <w:rFonts w:ascii="Arial" w:hAnsi="Arial" w:cs="Arial"/>
          <w:b/>
          <w:sz w:val="19"/>
          <w:szCs w:val="19"/>
        </w:rPr>
      </w:pPr>
      <w:r>
        <w:rPr>
          <w:rFonts w:ascii="Arial" w:hAnsi="Arial" w:cs="Arial"/>
          <w:b/>
          <w:sz w:val="19"/>
          <w:szCs w:val="19"/>
        </w:rPr>
        <w:t>V</w:t>
      </w:r>
      <w:r w:rsidR="0067457F" w:rsidRPr="003C3104">
        <w:rPr>
          <w:rFonts w:ascii="Arial" w:hAnsi="Arial" w:cs="Arial"/>
          <w:b/>
          <w:sz w:val="19"/>
          <w:szCs w:val="19"/>
        </w:rPr>
        <w:t xml:space="preserve">II. </w:t>
      </w:r>
      <w:r w:rsidR="00776757">
        <w:rPr>
          <w:rFonts w:ascii="Arial" w:hAnsi="Arial" w:cs="Arial"/>
          <w:b/>
          <w:bCs/>
          <w:sz w:val="19"/>
          <w:szCs w:val="19"/>
        </w:rPr>
        <w:t>DATA AVAILABILITY STATEMENT</w:t>
      </w:r>
    </w:p>
    <w:p w14:paraId="4C332F8F" w14:textId="5278D936" w:rsidR="00660796" w:rsidRPr="00776757" w:rsidRDefault="00776757" w:rsidP="00776757">
      <w:pPr>
        <w:pStyle w:val="NormalWeb"/>
        <w:shd w:val="clear" w:color="auto" w:fill="FFFFFF"/>
        <w:spacing w:before="0" w:beforeAutospacing="0"/>
        <w:ind w:firstLine="360"/>
        <w:jc w:val="both"/>
        <w:rPr>
          <w:sz w:val="20"/>
          <w:szCs w:val="20"/>
          <w:lang w:eastAsia="zh-CN"/>
        </w:rPr>
      </w:pPr>
      <w:r w:rsidRPr="00776757">
        <w:rPr>
          <w:sz w:val="20"/>
          <w:szCs w:val="20"/>
        </w:rPr>
        <w:t>The data that support the findings of this study are available from the corresponding author upon reasonable request</w:t>
      </w:r>
      <w:r w:rsidR="0085610B">
        <w:rPr>
          <w:sz w:val="20"/>
          <w:szCs w:val="20"/>
        </w:rPr>
        <w:t>.</w:t>
      </w:r>
    </w:p>
    <w:p w14:paraId="337A5738" w14:textId="28C44D2E" w:rsidR="0054561F" w:rsidRPr="00776757" w:rsidRDefault="00703ABC" w:rsidP="00776757">
      <w:pPr>
        <w:pStyle w:val="NormalWeb"/>
        <w:shd w:val="clear" w:color="auto" w:fill="FFFFFF"/>
        <w:spacing w:after="120" w:afterAutospacing="0"/>
        <w:jc w:val="both"/>
        <w:rPr>
          <w:rFonts w:ascii="Arial" w:hAnsi="Arial" w:cs="Arial"/>
          <w:b/>
          <w:sz w:val="19"/>
          <w:szCs w:val="19"/>
          <w:lang w:eastAsia="zh-CN"/>
        </w:rPr>
      </w:pPr>
      <w:r>
        <w:rPr>
          <w:rFonts w:ascii="Arial" w:hAnsi="Arial" w:cs="Arial"/>
          <w:b/>
          <w:sz w:val="19"/>
          <w:szCs w:val="19"/>
        </w:rPr>
        <w:t>VIII</w:t>
      </w:r>
      <w:r w:rsidR="0067457F" w:rsidRPr="003C3104">
        <w:rPr>
          <w:rFonts w:ascii="Arial" w:hAnsi="Arial" w:cs="Arial"/>
          <w:b/>
          <w:sz w:val="19"/>
          <w:szCs w:val="19"/>
        </w:rPr>
        <w:t xml:space="preserve">. </w:t>
      </w:r>
      <w:r w:rsidR="00776757" w:rsidRPr="003C3104">
        <w:rPr>
          <w:rFonts w:ascii="Arial" w:hAnsi="Arial" w:cs="Arial"/>
          <w:b/>
          <w:bCs/>
          <w:sz w:val="19"/>
          <w:szCs w:val="19"/>
        </w:rPr>
        <w:t>REFERENCES</w:t>
      </w:r>
    </w:p>
    <w:p w14:paraId="08CC9BDE" w14:textId="5CFA14C4" w:rsidR="00357D0D" w:rsidRPr="00041493" w:rsidRDefault="004B7EE4" w:rsidP="00483BFF">
      <w:pPr>
        <w:numPr>
          <w:ilvl w:val="0"/>
          <w:numId w:val="18"/>
        </w:numPr>
        <w:contextualSpacing/>
        <w:jc w:val="both"/>
        <w:rPr>
          <w:sz w:val="20"/>
          <w:szCs w:val="20"/>
        </w:rPr>
      </w:pPr>
      <w:bookmarkStart w:id="0" w:name="_Ref213328809"/>
      <w:r w:rsidRPr="00DF3076">
        <w:rPr>
          <w:sz w:val="16"/>
          <w:szCs w:val="16"/>
        </w:rPr>
        <w:t>A. A. Ovsyannikov and M. F. Zhukov, eds., Plasma Diagnostics (Cambridge Int. Science Publishing, 2000)</w:t>
      </w:r>
      <w:r w:rsidRPr="004B7EE4">
        <w:rPr>
          <w:sz w:val="16"/>
          <w:szCs w:val="16"/>
        </w:rPr>
        <w:t>.</w:t>
      </w:r>
      <w:bookmarkEnd w:id="0"/>
    </w:p>
    <w:p w14:paraId="2C8445A1" w14:textId="2A77FAAD" w:rsidR="00357D0D" w:rsidRDefault="004B7EE4" w:rsidP="00483BFF">
      <w:pPr>
        <w:numPr>
          <w:ilvl w:val="0"/>
          <w:numId w:val="18"/>
        </w:numPr>
        <w:contextualSpacing/>
        <w:jc w:val="both"/>
        <w:rPr>
          <w:sz w:val="20"/>
          <w:szCs w:val="20"/>
        </w:rPr>
      </w:pPr>
      <w:r w:rsidRPr="00DF3076">
        <w:rPr>
          <w:sz w:val="16"/>
          <w:szCs w:val="16"/>
        </w:rPr>
        <w:t xml:space="preserve">Y. Chen, Rev. Sci. </w:t>
      </w:r>
      <w:proofErr w:type="spellStart"/>
      <w:r w:rsidRPr="00DF3076">
        <w:rPr>
          <w:sz w:val="16"/>
          <w:szCs w:val="16"/>
        </w:rPr>
        <w:t>Instrum</w:t>
      </w:r>
      <w:proofErr w:type="spellEnd"/>
      <w:r w:rsidRPr="00DF3076">
        <w:rPr>
          <w:sz w:val="16"/>
          <w:szCs w:val="16"/>
        </w:rPr>
        <w:t>. 95, 093516 (2024)</w:t>
      </w:r>
      <w:r>
        <w:rPr>
          <w:rFonts w:hint="eastAsia"/>
          <w:sz w:val="16"/>
          <w:szCs w:val="16"/>
          <w:lang w:eastAsia="zh-CN"/>
        </w:rPr>
        <w:t>.</w:t>
      </w:r>
    </w:p>
    <w:p w14:paraId="6CDF9D1B" w14:textId="4621DF1D" w:rsidR="005A058C" w:rsidRDefault="004B7EE4" w:rsidP="00483BFF">
      <w:pPr>
        <w:numPr>
          <w:ilvl w:val="0"/>
          <w:numId w:val="18"/>
        </w:numPr>
        <w:contextualSpacing/>
        <w:jc w:val="both"/>
        <w:rPr>
          <w:sz w:val="20"/>
          <w:szCs w:val="20"/>
        </w:rPr>
      </w:pPr>
      <w:bookmarkStart w:id="1" w:name="_Ref231914415"/>
      <w:r w:rsidRPr="00DF3076">
        <w:rPr>
          <w:sz w:val="16"/>
          <w:szCs w:val="16"/>
        </w:rPr>
        <w:t xml:space="preserve">G. Yu et al., </w:t>
      </w:r>
      <w:proofErr w:type="spellStart"/>
      <w:r w:rsidRPr="00DF3076">
        <w:rPr>
          <w:sz w:val="16"/>
          <w:szCs w:val="16"/>
        </w:rPr>
        <w:t>Nucl</w:t>
      </w:r>
      <w:proofErr w:type="spellEnd"/>
      <w:r w:rsidRPr="00DF3076">
        <w:rPr>
          <w:sz w:val="16"/>
          <w:szCs w:val="16"/>
        </w:rPr>
        <w:t xml:space="preserve">. Fusion </w:t>
      </w:r>
      <w:r w:rsidR="00483BFF" w:rsidRPr="00483BFF">
        <w:rPr>
          <w:sz w:val="16"/>
          <w:szCs w:val="16"/>
        </w:rPr>
        <w:t xml:space="preserve">66 036024 </w:t>
      </w:r>
      <w:r w:rsidRPr="00DF3076">
        <w:rPr>
          <w:sz w:val="16"/>
          <w:szCs w:val="16"/>
        </w:rPr>
        <w:t>(2026)</w:t>
      </w:r>
      <w:bookmarkEnd w:id="1"/>
      <w:r>
        <w:rPr>
          <w:rFonts w:hint="eastAsia"/>
          <w:sz w:val="20"/>
          <w:szCs w:val="20"/>
          <w:lang w:eastAsia="zh-CN"/>
        </w:rPr>
        <w:t>.</w:t>
      </w:r>
    </w:p>
    <w:p w14:paraId="696FEAE2" w14:textId="6A048F2B" w:rsidR="00357D0D" w:rsidRDefault="004B7EE4" w:rsidP="00483BFF">
      <w:pPr>
        <w:numPr>
          <w:ilvl w:val="0"/>
          <w:numId w:val="18"/>
        </w:numPr>
        <w:contextualSpacing/>
        <w:jc w:val="both"/>
        <w:rPr>
          <w:sz w:val="20"/>
          <w:szCs w:val="20"/>
        </w:rPr>
      </w:pPr>
      <w:bookmarkStart w:id="2" w:name="_Ref231913224"/>
      <w:r w:rsidRPr="00DF3076">
        <w:rPr>
          <w:sz w:val="16"/>
          <w:szCs w:val="16"/>
        </w:rPr>
        <w:t>X. Li et al., JINST 19, P06046 (2024)</w:t>
      </w:r>
      <w:bookmarkEnd w:id="2"/>
      <w:r>
        <w:rPr>
          <w:rFonts w:hint="eastAsia"/>
          <w:sz w:val="20"/>
          <w:szCs w:val="20"/>
          <w:lang w:eastAsia="zh-CN"/>
        </w:rPr>
        <w:t>.</w:t>
      </w:r>
    </w:p>
    <w:p w14:paraId="0592BF31" w14:textId="14E5F521" w:rsidR="00357D0D" w:rsidRPr="004B7EE4" w:rsidRDefault="004B7EE4" w:rsidP="00483BFF">
      <w:pPr>
        <w:numPr>
          <w:ilvl w:val="0"/>
          <w:numId w:val="18"/>
        </w:numPr>
        <w:contextualSpacing/>
        <w:jc w:val="both"/>
        <w:rPr>
          <w:sz w:val="16"/>
          <w:szCs w:val="16"/>
        </w:rPr>
      </w:pPr>
      <w:bookmarkStart w:id="3" w:name="_Ref231913226"/>
      <w:r w:rsidRPr="00DF3076">
        <w:rPr>
          <w:sz w:val="16"/>
          <w:szCs w:val="16"/>
        </w:rPr>
        <w:t xml:space="preserve">Y. Zhu et al., Rev. Sci. </w:t>
      </w:r>
      <w:proofErr w:type="spellStart"/>
      <w:r w:rsidRPr="00DF3076">
        <w:rPr>
          <w:sz w:val="16"/>
          <w:szCs w:val="16"/>
        </w:rPr>
        <w:t>Instrum</w:t>
      </w:r>
      <w:proofErr w:type="spellEnd"/>
      <w:r w:rsidRPr="00DF3076">
        <w:rPr>
          <w:sz w:val="16"/>
          <w:szCs w:val="16"/>
        </w:rPr>
        <w:t>. 93, 113509 (2022</w:t>
      </w:r>
      <w:r>
        <w:rPr>
          <w:rFonts w:hint="eastAsia"/>
          <w:sz w:val="16"/>
          <w:szCs w:val="16"/>
          <w:lang w:eastAsia="zh-CN"/>
        </w:rPr>
        <w:t>)</w:t>
      </w:r>
      <w:r w:rsidR="00357D0D" w:rsidRPr="004B7EE4">
        <w:rPr>
          <w:sz w:val="16"/>
          <w:szCs w:val="16"/>
        </w:rPr>
        <w:t>.</w:t>
      </w:r>
      <w:bookmarkEnd w:id="3"/>
    </w:p>
    <w:p w14:paraId="69BD5B2B" w14:textId="07EC8971" w:rsidR="00357D0D" w:rsidRPr="004B7EE4" w:rsidRDefault="004B7EE4" w:rsidP="00483BFF">
      <w:pPr>
        <w:numPr>
          <w:ilvl w:val="0"/>
          <w:numId w:val="18"/>
        </w:numPr>
        <w:contextualSpacing/>
        <w:jc w:val="both"/>
        <w:rPr>
          <w:sz w:val="16"/>
          <w:szCs w:val="16"/>
        </w:rPr>
      </w:pPr>
      <w:bookmarkStart w:id="4" w:name="_Ref231913227"/>
      <w:r w:rsidRPr="00DF3076">
        <w:rPr>
          <w:sz w:val="16"/>
          <w:szCs w:val="16"/>
        </w:rPr>
        <w:t xml:space="preserve">X. Li et al., Plasma Phys. Control. Fusion </w:t>
      </w:r>
      <w:r w:rsidR="00483BFF" w:rsidRPr="00483BFF">
        <w:rPr>
          <w:sz w:val="16"/>
          <w:szCs w:val="16"/>
        </w:rPr>
        <w:t xml:space="preserve">67 055021 </w:t>
      </w:r>
      <w:r w:rsidRPr="00DF3076">
        <w:rPr>
          <w:sz w:val="16"/>
          <w:szCs w:val="16"/>
        </w:rPr>
        <w:t>(2025)</w:t>
      </w:r>
      <w:r w:rsidR="00357D0D" w:rsidRPr="004B7EE4">
        <w:rPr>
          <w:sz w:val="16"/>
          <w:szCs w:val="16"/>
        </w:rPr>
        <w:t>.</w:t>
      </w:r>
      <w:bookmarkEnd w:id="4"/>
    </w:p>
    <w:p w14:paraId="766D96DA" w14:textId="23B17647" w:rsidR="005A058C" w:rsidRPr="004B7EE4" w:rsidRDefault="004B7EE4" w:rsidP="00483BFF">
      <w:pPr>
        <w:numPr>
          <w:ilvl w:val="0"/>
          <w:numId w:val="18"/>
        </w:numPr>
        <w:contextualSpacing/>
        <w:jc w:val="both"/>
        <w:rPr>
          <w:sz w:val="16"/>
          <w:szCs w:val="16"/>
        </w:rPr>
      </w:pPr>
      <w:bookmarkStart w:id="5" w:name="_Ref231914159"/>
      <w:r w:rsidRPr="00DF3076">
        <w:rPr>
          <w:sz w:val="16"/>
          <w:szCs w:val="16"/>
        </w:rPr>
        <w:t xml:space="preserve">Y. Zhu et al., Rev. Sci. </w:t>
      </w:r>
      <w:proofErr w:type="spellStart"/>
      <w:r w:rsidRPr="00DF3076">
        <w:rPr>
          <w:sz w:val="16"/>
          <w:szCs w:val="16"/>
        </w:rPr>
        <w:t>Instrum</w:t>
      </w:r>
      <w:proofErr w:type="spellEnd"/>
      <w:r w:rsidRPr="00DF3076">
        <w:rPr>
          <w:sz w:val="16"/>
          <w:szCs w:val="16"/>
        </w:rPr>
        <w:t>. 91, 093504 (2020)</w:t>
      </w:r>
      <w:r w:rsidR="005A058C" w:rsidRPr="004B7EE4">
        <w:rPr>
          <w:rFonts w:hint="eastAsia"/>
          <w:sz w:val="16"/>
          <w:szCs w:val="16"/>
          <w:lang w:eastAsia="zh-CN"/>
        </w:rPr>
        <w:t>.</w:t>
      </w:r>
      <w:bookmarkEnd w:id="5"/>
    </w:p>
    <w:p w14:paraId="28DEBC6D" w14:textId="021BBF81" w:rsidR="00357D0D" w:rsidRPr="004B7EE4" w:rsidRDefault="004B7EE4" w:rsidP="00483BFF">
      <w:pPr>
        <w:numPr>
          <w:ilvl w:val="0"/>
          <w:numId w:val="18"/>
        </w:numPr>
        <w:contextualSpacing/>
        <w:jc w:val="both"/>
        <w:rPr>
          <w:sz w:val="16"/>
          <w:szCs w:val="16"/>
        </w:rPr>
      </w:pPr>
      <w:bookmarkStart w:id="6" w:name="_Ref231913802"/>
      <w:r w:rsidRPr="00DF3076">
        <w:rPr>
          <w:sz w:val="16"/>
          <w:szCs w:val="16"/>
        </w:rPr>
        <w:t>G. Yu et al., J. Plasma Phys. 90, 985900601 (2024)</w:t>
      </w:r>
      <w:r w:rsidR="00357D0D" w:rsidRPr="004B7EE4">
        <w:rPr>
          <w:rFonts w:hint="eastAsia"/>
          <w:sz w:val="16"/>
          <w:szCs w:val="16"/>
          <w:lang w:eastAsia="zh-CN"/>
        </w:rPr>
        <w:t>.</w:t>
      </w:r>
      <w:bookmarkEnd w:id="6"/>
    </w:p>
    <w:p w14:paraId="75BFE454" w14:textId="0AA79329" w:rsidR="00357D0D" w:rsidRPr="004B7EE4" w:rsidRDefault="004B7EE4" w:rsidP="00483BFF">
      <w:pPr>
        <w:numPr>
          <w:ilvl w:val="0"/>
          <w:numId w:val="18"/>
        </w:numPr>
        <w:contextualSpacing/>
        <w:jc w:val="both"/>
        <w:rPr>
          <w:sz w:val="16"/>
          <w:szCs w:val="16"/>
        </w:rPr>
      </w:pPr>
      <w:bookmarkStart w:id="7" w:name="_Ref231913803"/>
      <w:r w:rsidRPr="00DF3076">
        <w:rPr>
          <w:sz w:val="16"/>
          <w:szCs w:val="16"/>
        </w:rPr>
        <w:t>X. Yu et al., Plasma Sci. Technol. 25, 125601 (2023)</w:t>
      </w:r>
      <w:r w:rsidR="00357D0D" w:rsidRPr="004B7EE4">
        <w:rPr>
          <w:rFonts w:hint="eastAsia"/>
          <w:sz w:val="16"/>
          <w:szCs w:val="16"/>
          <w:lang w:eastAsia="zh-CN"/>
        </w:rPr>
        <w:t>.</w:t>
      </w:r>
      <w:bookmarkEnd w:id="7"/>
    </w:p>
    <w:p w14:paraId="58082DBC" w14:textId="1BFA9A15" w:rsidR="00357D0D" w:rsidRPr="004B7EE4" w:rsidRDefault="004B7EE4" w:rsidP="00483BFF">
      <w:pPr>
        <w:numPr>
          <w:ilvl w:val="0"/>
          <w:numId w:val="18"/>
        </w:numPr>
        <w:contextualSpacing/>
        <w:jc w:val="both"/>
        <w:rPr>
          <w:sz w:val="16"/>
          <w:szCs w:val="16"/>
        </w:rPr>
      </w:pPr>
      <w:bookmarkStart w:id="8" w:name="_Ref231913805"/>
      <w:r w:rsidRPr="00DF3076">
        <w:rPr>
          <w:sz w:val="16"/>
          <w:szCs w:val="16"/>
        </w:rPr>
        <w:t xml:space="preserve">G. Yu et al., Rev. Sci. </w:t>
      </w:r>
      <w:proofErr w:type="spellStart"/>
      <w:r w:rsidRPr="00DF3076">
        <w:rPr>
          <w:sz w:val="16"/>
          <w:szCs w:val="16"/>
        </w:rPr>
        <w:t>Instrum</w:t>
      </w:r>
      <w:proofErr w:type="spellEnd"/>
      <w:r w:rsidRPr="00DF3076">
        <w:rPr>
          <w:sz w:val="16"/>
          <w:szCs w:val="16"/>
        </w:rPr>
        <w:t>. 95, 073505 (2024)</w:t>
      </w:r>
      <w:r w:rsidR="00357D0D" w:rsidRPr="004B7EE4">
        <w:rPr>
          <w:rFonts w:hint="eastAsia"/>
          <w:sz w:val="16"/>
          <w:szCs w:val="16"/>
          <w:lang w:eastAsia="zh-CN"/>
        </w:rPr>
        <w:t>.</w:t>
      </w:r>
      <w:bookmarkEnd w:id="8"/>
    </w:p>
    <w:p w14:paraId="205F6C72" w14:textId="5B489728" w:rsidR="00357D0D" w:rsidRPr="004B7EE4" w:rsidRDefault="004B7EE4" w:rsidP="00483BFF">
      <w:pPr>
        <w:numPr>
          <w:ilvl w:val="0"/>
          <w:numId w:val="18"/>
        </w:numPr>
        <w:contextualSpacing/>
        <w:jc w:val="both"/>
        <w:rPr>
          <w:sz w:val="16"/>
          <w:szCs w:val="16"/>
        </w:rPr>
      </w:pPr>
      <w:bookmarkStart w:id="9" w:name="_Ref231913268"/>
      <w:r w:rsidRPr="00DF3076">
        <w:rPr>
          <w:sz w:val="16"/>
          <w:szCs w:val="16"/>
        </w:rPr>
        <w:t>R. M. Churchill et al., Phys. Plasmas 27, 062510 (2020)</w:t>
      </w:r>
      <w:r w:rsidR="00357D0D" w:rsidRPr="004B7EE4">
        <w:rPr>
          <w:sz w:val="16"/>
          <w:szCs w:val="16"/>
        </w:rPr>
        <w:t>.</w:t>
      </w:r>
      <w:bookmarkEnd w:id="9"/>
    </w:p>
    <w:p w14:paraId="07D01381" w14:textId="49AF1860" w:rsidR="00357D0D" w:rsidRPr="004B7EE4" w:rsidRDefault="004B7EE4" w:rsidP="00483BFF">
      <w:pPr>
        <w:numPr>
          <w:ilvl w:val="0"/>
          <w:numId w:val="18"/>
        </w:numPr>
        <w:contextualSpacing/>
        <w:jc w:val="both"/>
        <w:rPr>
          <w:sz w:val="16"/>
          <w:szCs w:val="16"/>
        </w:rPr>
      </w:pPr>
      <w:bookmarkStart w:id="10" w:name="_Ref231913269"/>
      <w:r w:rsidRPr="00DF3076">
        <w:rPr>
          <w:sz w:val="16"/>
          <w:szCs w:val="16"/>
        </w:rPr>
        <w:t>Z. Zhang et al., Fusion Eng. Des. 177, 113065 (2022)</w:t>
      </w:r>
      <w:r w:rsidR="00357D0D" w:rsidRPr="004B7EE4">
        <w:rPr>
          <w:sz w:val="16"/>
          <w:szCs w:val="16"/>
        </w:rPr>
        <w:t>.</w:t>
      </w:r>
      <w:bookmarkEnd w:id="10"/>
    </w:p>
    <w:p w14:paraId="5488F748" w14:textId="3020F801" w:rsidR="00357D0D" w:rsidRPr="004B7EE4" w:rsidRDefault="004B7EE4" w:rsidP="00483BFF">
      <w:pPr>
        <w:numPr>
          <w:ilvl w:val="0"/>
          <w:numId w:val="18"/>
        </w:numPr>
        <w:contextualSpacing/>
        <w:jc w:val="both"/>
        <w:rPr>
          <w:sz w:val="16"/>
          <w:szCs w:val="16"/>
        </w:rPr>
      </w:pPr>
      <w:bookmarkStart w:id="11" w:name="_Ref231913305"/>
      <w:r w:rsidRPr="00DF3076">
        <w:rPr>
          <w:sz w:val="16"/>
          <w:szCs w:val="16"/>
        </w:rPr>
        <w:t>M. Hasegawa et al., J. Plasma Fusion Res. 80, 53 (2004)</w:t>
      </w:r>
      <w:r w:rsidR="00357D0D" w:rsidRPr="004B7EE4">
        <w:rPr>
          <w:sz w:val="16"/>
          <w:szCs w:val="16"/>
        </w:rPr>
        <w:t>.</w:t>
      </w:r>
      <w:bookmarkEnd w:id="11"/>
    </w:p>
    <w:p w14:paraId="2DA3A946" w14:textId="41E7B7A4" w:rsidR="004B7EE4" w:rsidRPr="004B7EE4" w:rsidRDefault="004B7EE4" w:rsidP="00483BFF">
      <w:pPr>
        <w:numPr>
          <w:ilvl w:val="0"/>
          <w:numId w:val="18"/>
        </w:numPr>
        <w:contextualSpacing/>
        <w:jc w:val="both"/>
        <w:rPr>
          <w:sz w:val="16"/>
          <w:szCs w:val="16"/>
        </w:rPr>
      </w:pPr>
      <w:r w:rsidRPr="00DF3076">
        <w:rPr>
          <w:sz w:val="16"/>
          <w:szCs w:val="16"/>
        </w:rPr>
        <w:t xml:space="preserve">G. Yu et al., Rev. Sci. </w:t>
      </w:r>
      <w:proofErr w:type="spellStart"/>
      <w:r w:rsidRPr="00DF3076">
        <w:rPr>
          <w:sz w:val="16"/>
          <w:szCs w:val="16"/>
        </w:rPr>
        <w:t>Instrum</w:t>
      </w:r>
      <w:proofErr w:type="spellEnd"/>
      <w:r w:rsidRPr="00DF3076">
        <w:rPr>
          <w:sz w:val="16"/>
          <w:szCs w:val="16"/>
        </w:rPr>
        <w:t>. 93, 103502 (2022)</w:t>
      </w:r>
      <w:r>
        <w:rPr>
          <w:rFonts w:hint="eastAsia"/>
          <w:sz w:val="16"/>
          <w:szCs w:val="16"/>
          <w:lang w:eastAsia="zh-CN"/>
        </w:rPr>
        <w:t>.</w:t>
      </w:r>
    </w:p>
    <w:p w14:paraId="0DF14AA1" w14:textId="28E811D1" w:rsidR="005A058C" w:rsidRPr="004B7EE4" w:rsidRDefault="004B7EE4" w:rsidP="00483BFF">
      <w:pPr>
        <w:numPr>
          <w:ilvl w:val="0"/>
          <w:numId w:val="18"/>
        </w:numPr>
        <w:contextualSpacing/>
        <w:jc w:val="both"/>
        <w:rPr>
          <w:sz w:val="16"/>
          <w:szCs w:val="16"/>
        </w:rPr>
      </w:pPr>
      <w:bookmarkStart w:id="12" w:name="_Ref231914040"/>
      <w:r w:rsidRPr="00DF3076">
        <w:rPr>
          <w:sz w:val="16"/>
          <w:szCs w:val="16"/>
        </w:rPr>
        <w:t>P. Sun et al., Plasma Phys. Control. Fusion 67, 085029 (2025)</w:t>
      </w:r>
      <w:r w:rsidR="005A058C" w:rsidRPr="004B7EE4">
        <w:rPr>
          <w:rFonts w:hint="eastAsia"/>
          <w:sz w:val="16"/>
          <w:szCs w:val="16"/>
          <w:lang w:eastAsia="zh-CN"/>
        </w:rPr>
        <w:t>.</w:t>
      </w:r>
      <w:bookmarkEnd w:id="12"/>
    </w:p>
    <w:p w14:paraId="4A2E2784" w14:textId="6A40B448" w:rsidR="005A058C" w:rsidRPr="004B7EE4" w:rsidRDefault="004B7EE4" w:rsidP="00483BFF">
      <w:pPr>
        <w:numPr>
          <w:ilvl w:val="0"/>
          <w:numId w:val="18"/>
        </w:numPr>
        <w:contextualSpacing/>
        <w:jc w:val="both"/>
        <w:rPr>
          <w:sz w:val="16"/>
          <w:szCs w:val="16"/>
        </w:rPr>
      </w:pPr>
      <w:bookmarkStart w:id="13" w:name="_Ref231914042"/>
      <w:r w:rsidRPr="00DF3076">
        <w:rPr>
          <w:sz w:val="16"/>
          <w:szCs w:val="16"/>
        </w:rPr>
        <w:t xml:space="preserve">X. Li et al., Rev. Sci. </w:t>
      </w:r>
      <w:proofErr w:type="spellStart"/>
      <w:r w:rsidRPr="00DF3076">
        <w:rPr>
          <w:sz w:val="16"/>
          <w:szCs w:val="16"/>
        </w:rPr>
        <w:t>Instrum</w:t>
      </w:r>
      <w:proofErr w:type="spellEnd"/>
      <w:r w:rsidRPr="00DF3076">
        <w:rPr>
          <w:sz w:val="16"/>
          <w:szCs w:val="16"/>
        </w:rPr>
        <w:t>. 95, 073519 (2024)</w:t>
      </w:r>
      <w:r w:rsidR="005A058C" w:rsidRPr="004B7EE4">
        <w:rPr>
          <w:rFonts w:hint="eastAsia"/>
          <w:sz w:val="16"/>
          <w:szCs w:val="16"/>
          <w:lang w:eastAsia="zh-CN"/>
        </w:rPr>
        <w:t>.</w:t>
      </w:r>
      <w:bookmarkEnd w:id="13"/>
    </w:p>
    <w:p w14:paraId="695453E8" w14:textId="04797978" w:rsidR="005A058C" w:rsidRPr="004B7EE4" w:rsidRDefault="004B7EE4" w:rsidP="00483BFF">
      <w:pPr>
        <w:numPr>
          <w:ilvl w:val="0"/>
          <w:numId w:val="18"/>
        </w:numPr>
        <w:contextualSpacing/>
        <w:jc w:val="both"/>
        <w:rPr>
          <w:sz w:val="16"/>
          <w:szCs w:val="16"/>
        </w:rPr>
      </w:pPr>
      <w:bookmarkStart w:id="14" w:name="_Ref231914499"/>
      <w:r w:rsidRPr="00DF3076">
        <w:rPr>
          <w:sz w:val="16"/>
          <w:szCs w:val="16"/>
        </w:rPr>
        <w:lastRenderedPageBreak/>
        <w:t xml:space="preserve">Y. Li et al., </w:t>
      </w:r>
      <w:proofErr w:type="spellStart"/>
      <w:r w:rsidRPr="00DF3076">
        <w:rPr>
          <w:sz w:val="16"/>
          <w:szCs w:val="16"/>
        </w:rPr>
        <w:t>Nucl</w:t>
      </w:r>
      <w:proofErr w:type="spellEnd"/>
      <w:r w:rsidRPr="00DF3076">
        <w:rPr>
          <w:sz w:val="16"/>
          <w:szCs w:val="16"/>
        </w:rPr>
        <w:t xml:space="preserve">. Fusion </w:t>
      </w:r>
      <w:r w:rsidR="00483BFF" w:rsidRPr="00483BFF">
        <w:rPr>
          <w:sz w:val="16"/>
          <w:szCs w:val="16"/>
        </w:rPr>
        <w:t xml:space="preserve">66 016003 </w:t>
      </w:r>
      <w:r w:rsidRPr="00DF3076">
        <w:rPr>
          <w:sz w:val="16"/>
          <w:szCs w:val="16"/>
        </w:rPr>
        <w:t>(2025)</w:t>
      </w:r>
      <w:r w:rsidR="005A058C" w:rsidRPr="004B7EE4">
        <w:rPr>
          <w:rFonts w:hint="eastAsia"/>
          <w:sz w:val="16"/>
          <w:szCs w:val="16"/>
          <w:lang w:eastAsia="zh-CN"/>
        </w:rPr>
        <w:t>.</w:t>
      </w:r>
      <w:bookmarkEnd w:id="14"/>
    </w:p>
    <w:p w14:paraId="25836092" w14:textId="1026F1DF" w:rsidR="00357D0D" w:rsidRPr="004B7EE4" w:rsidRDefault="004B7EE4" w:rsidP="00483BFF">
      <w:pPr>
        <w:numPr>
          <w:ilvl w:val="0"/>
          <w:numId w:val="18"/>
        </w:numPr>
        <w:contextualSpacing/>
        <w:jc w:val="both"/>
        <w:rPr>
          <w:sz w:val="16"/>
          <w:szCs w:val="16"/>
        </w:rPr>
      </w:pPr>
      <w:bookmarkStart w:id="15" w:name="_Ref231913323"/>
      <w:r w:rsidRPr="00DF3076">
        <w:rPr>
          <w:sz w:val="16"/>
          <w:szCs w:val="16"/>
        </w:rPr>
        <w:t xml:space="preserve">C. Luo et al., Plasma Sci. Technol. </w:t>
      </w:r>
      <w:r w:rsidR="00483BFF" w:rsidRPr="00483BFF">
        <w:rPr>
          <w:sz w:val="16"/>
          <w:szCs w:val="16"/>
        </w:rPr>
        <w:t xml:space="preserve">28 015602 </w:t>
      </w:r>
      <w:r w:rsidRPr="00DF3076">
        <w:rPr>
          <w:sz w:val="16"/>
          <w:szCs w:val="16"/>
        </w:rPr>
        <w:t>(2025)</w:t>
      </w:r>
      <w:r w:rsidR="00357D0D" w:rsidRPr="004B7EE4">
        <w:rPr>
          <w:rFonts w:hint="eastAsia"/>
          <w:sz w:val="16"/>
          <w:szCs w:val="16"/>
        </w:rPr>
        <w:t>.</w:t>
      </w:r>
      <w:bookmarkEnd w:id="15"/>
    </w:p>
    <w:p w14:paraId="3C1C8B98" w14:textId="6164A541" w:rsidR="00357D0D" w:rsidRPr="004B7EE4" w:rsidRDefault="00483BFF" w:rsidP="00483BFF">
      <w:pPr>
        <w:numPr>
          <w:ilvl w:val="0"/>
          <w:numId w:val="18"/>
        </w:numPr>
        <w:contextualSpacing/>
        <w:jc w:val="both"/>
        <w:rPr>
          <w:sz w:val="16"/>
          <w:szCs w:val="16"/>
        </w:rPr>
      </w:pPr>
      <w:bookmarkStart w:id="16" w:name="_Ref231913330"/>
      <w:r w:rsidRPr="00DF3076">
        <w:rPr>
          <w:sz w:val="16"/>
          <w:szCs w:val="16"/>
        </w:rPr>
        <w:t xml:space="preserve">V. </w:t>
      </w:r>
      <w:proofErr w:type="spellStart"/>
      <w:r w:rsidRPr="00DF3076">
        <w:rPr>
          <w:sz w:val="16"/>
          <w:szCs w:val="16"/>
        </w:rPr>
        <w:t>Furtula</w:t>
      </w:r>
      <w:proofErr w:type="spellEnd"/>
      <w:r w:rsidRPr="00DF3076">
        <w:rPr>
          <w:sz w:val="16"/>
          <w:szCs w:val="16"/>
        </w:rPr>
        <w:t xml:space="preserve"> et al., Electron Cyclotron Emission </w:t>
      </w:r>
      <w:proofErr w:type="gramStart"/>
      <w:r w:rsidRPr="00DF3076">
        <w:rPr>
          <w:sz w:val="16"/>
          <w:szCs w:val="16"/>
        </w:rPr>
        <w:t>And</w:t>
      </w:r>
      <w:proofErr w:type="gramEnd"/>
      <w:r w:rsidRPr="00DF3076">
        <w:rPr>
          <w:sz w:val="16"/>
          <w:szCs w:val="16"/>
        </w:rPr>
        <w:t xml:space="preserve"> Electron Cyclotron Resonance Heating (Ec-16) (2011), pp. 228–233</w:t>
      </w:r>
      <w:r w:rsidR="00357D0D" w:rsidRPr="004B7EE4">
        <w:rPr>
          <w:sz w:val="16"/>
          <w:szCs w:val="16"/>
        </w:rPr>
        <w:t>.</w:t>
      </w:r>
      <w:bookmarkEnd w:id="16"/>
    </w:p>
    <w:p w14:paraId="2E2415CB" w14:textId="43F761D0" w:rsidR="00357D0D" w:rsidRPr="004B7EE4" w:rsidRDefault="00483BFF" w:rsidP="00483BFF">
      <w:pPr>
        <w:numPr>
          <w:ilvl w:val="0"/>
          <w:numId w:val="18"/>
        </w:numPr>
        <w:contextualSpacing/>
        <w:jc w:val="both"/>
        <w:rPr>
          <w:sz w:val="16"/>
          <w:szCs w:val="16"/>
        </w:rPr>
      </w:pPr>
      <w:bookmarkStart w:id="17" w:name="_Ref231913345"/>
      <w:r w:rsidRPr="00DF3076">
        <w:rPr>
          <w:sz w:val="16"/>
          <w:szCs w:val="16"/>
        </w:rPr>
        <w:t xml:space="preserve">S. Qiu et al., Rev. Sci. </w:t>
      </w:r>
      <w:proofErr w:type="spellStart"/>
      <w:r w:rsidRPr="00DF3076">
        <w:rPr>
          <w:sz w:val="16"/>
          <w:szCs w:val="16"/>
        </w:rPr>
        <w:t>Instrum</w:t>
      </w:r>
      <w:proofErr w:type="spellEnd"/>
      <w:r w:rsidRPr="00DF3076">
        <w:rPr>
          <w:sz w:val="16"/>
          <w:szCs w:val="16"/>
        </w:rPr>
        <w:t>. 95, 023503 (2024)</w:t>
      </w:r>
      <w:r w:rsidR="00357D0D" w:rsidRPr="004B7EE4">
        <w:rPr>
          <w:rFonts w:hint="eastAsia"/>
          <w:sz w:val="16"/>
          <w:szCs w:val="16"/>
        </w:rPr>
        <w:t>.</w:t>
      </w:r>
      <w:bookmarkEnd w:id="17"/>
    </w:p>
    <w:p w14:paraId="3964E2D7" w14:textId="54DC2464" w:rsidR="00357D0D" w:rsidRPr="004B7EE4" w:rsidRDefault="00483BFF" w:rsidP="00483BFF">
      <w:pPr>
        <w:numPr>
          <w:ilvl w:val="0"/>
          <w:numId w:val="18"/>
        </w:numPr>
        <w:contextualSpacing/>
        <w:jc w:val="both"/>
        <w:rPr>
          <w:sz w:val="16"/>
          <w:szCs w:val="16"/>
        </w:rPr>
      </w:pPr>
      <w:bookmarkStart w:id="18" w:name="_Ref231913347"/>
      <w:r w:rsidRPr="00DF3076">
        <w:rPr>
          <w:sz w:val="16"/>
          <w:szCs w:val="16"/>
        </w:rPr>
        <w:t>L. Himes et al., JINST 19, P10024 (2024)</w:t>
      </w:r>
      <w:r w:rsidR="00357D0D" w:rsidRPr="004B7EE4">
        <w:rPr>
          <w:rFonts w:hint="eastAsia"/>
          <w:sz w:val="16"/>
          <w:szCs w:val="16"/>
        </w:rPr>
        <w:t>.</w:t>
      </w:r>
      <w:bookmarkEnd w:id="18"/>
    </w:p>
    <w:p w14:paraId="6E5F20A1" w14:textId="6CBFD56C" w:rsidR="00357D0D" w:rsidRPr="004B7EE4" w:rsidRDefault="00483BFF" w:rsidP="00483BFF">
      <w:pPr>
        <w:numPr>
          <w:ilvl w:val="0"/>
          <w:numId w:val="18"/>
        </w:numPr>
        <w:contextualSpacing/>
        <w:jc w:val="both"/>
        <w:rPr>
          <w:sz w:val="16"/>
          <w:szCs w:val="16"/>
        </w:rPr>
      </w:pPr>
      <w:bookmarkStart w:id="19" w:name="_Ref231913422"/>
      <w:r w:rsidRPr="00DF3076">
        <w:rPr>
          <w:sz w:val="16"/>
          <w:szCs w:val="16"/>
        </w:rPr>
        <w:t>C. Luo et al., Fusion Eng. Des. 214, 114925 (2025)</w:t>
      </w:r>
      <w:r w:rsidR="00357D0D" w:rsidRPr="004B7EE4">
        <w:rPr>
          <w:rFonts w:hint="eastAsia"/>
          <w:sz w:val="16"/>
          <w:szCs w:val="16"/>
        </w:rPr>
        <w:t>.</w:t>
      </w:r>
      <w:bookmarkEnd w:id="19"/>
    </w:p>
    <w:p w14:paraId="5273A81D" w14:textId="48BD5E40" w:rsidR="00357D0D" w:rsidRPr="004B7EE4" w:rsidRDefault="00483BFF" w:rsidP="00483BFF">
      <w:pPr>
        <w:numPr>
          <w:ilvl w:val="0"/>
          <w:numId w:val="18"/>
        </w:numPr>
        <w:contextualSpacing/>
        <w:jc w:val="both"/>
        <w:rPr>
          <w:sz w:val="16"/>
          <w:szCs w:val="16"/>
        </w:rPr>
      </w:pPr>
      <w:bookmarkStart w:id="20" w:name="_Ref231913507"/>
      <w:r w:rsidRPr="00DF3076">
        <w:rPr>
          <w:sz w:val="16"/>
          <w:szCs w:val="16"/>
        </w:rPr>
        <w:t>Z. Yang et al., JINST 13, P07031 (2018)</w:t>
      </w:r>
      <w:r w:rsidR="00357D0D" w:rsidRPr="004B7EE4">
        <w:rPr>
          <w:sz w:val="16"/>
          <w:szCs w:val="16"/>
        </w:rPr>
        <w:t>.</w:t>
      </w:r>
      <w:bookmarkEnd w:id="20"/>
    </w:p>
    <w:p w14:paraId="3A054278" w14:textId="3B0B8693" w:rsidR="00357D0D" w:rsidRPr="004B7EE4" w:rsidRDefault="00483BFF" w:rsidP="00483BFF">
      <w:pPr>
        <w:numPr>
          <w:ilvl w:val="0"/>
          <w:numId w:val="18"/>
        </w:numPr>
        <w:contextualSpacing/>
        <w:jc w:val="both"/>
        <w:rPr>
          <w:sz w:val="16"/>
          <w:szCs w:val="16"/>
        </w:rPr>
      </w:pPr>
      <w:bookmarkStart w:id="21" w:name="_Ref231913509"/>
      <w:r w:rsidRPr="00DF3076">
        <w:rPr>
          <w:sz w:val="16"/>
          <w:szCs w:val="16"/>
        </w:rPr>
        <w:t>C. W. Domier et al., JINST 17, C02010 (2022)</w:t>
      </w:r>
      <w:r w:rsidR="00357D0D" w:rsidRPr="004B7EE4">
        <w:rPr>
          <w:rFonts w:hint="eastAsia"/>
          <w:sz w:val="16"/>
          <w:szCs w:val="16"/>
        </w:rPr>
        <w:t>.</w:t>
      </w:r>
      <w:bookmarkEnd w:id="21"/>
    </w:p>
    <w:p w14:paraId="76D3B894" w14:textId="23515666" w:rsidR="00357D0D" w:rsidRPr="004B7EE4" w:rsidRDefault="00483BFF" w:rsidP="00483BFF">
      <w:pPr>
        <w:numPr>
          <w:ilvl w:val="0"/>
          <w:numId w:val="18"/>
        </w:numPr>
        <w:contextualSpacing/>
        <w:jc w:val="both"/>
        <w:rPr>
          <w:sz w:val="16"/>
          <w:szCs w:val="16"/>
        </w:rPr>
      </w:pPr>
      <w:bookmarkStart w:id="22" w:name="_Ref231913529"/>
      <w:r w:rsidRPr="00DF3076">
        <w:rPr>
          <w:sz w:val="16"/>
          <w:szCs w:val="16"/>
        </w:rPr>
        <w:t xml:space="preserve">X. Li et al., Plasma Phys. Control. Fusion </w:t>
      </w:r>
      <w:r w:rsidR="00B85EC8" w:rsidRPr="00B85EC8">
        <w:rPr>
          <w:sz w:val="16"/>
          <w:szCs w:val="16"/>
        </w:rPr>
        <w:t xml:space="preserve">67 115009 </w:t>
      </w:r>
      <w:r w:rsidRPr="00DF3076">
        <w:rPr>
          <w:sz w:val="16"/>
          <w:szCs w:val="16"/>
        </w:rPr>
        <w:t>(2025)</w:t>
      </w:r>
      <w:r w:rsidR="00357D0D" w:rsidRPr="004B7EE4">
        <w:rPr>
          <w:rFonts w:hint="eastAsia"/>
          <w:sz w:val="16"/>
          <w:szCs w:val="16"/>
        </w:rPr>
        <w:t>.</w:t>
      </w:r>
      <w:bookmarkEnd w:id="22"/>
    </w:p>
    <w:p w14:paraId="335CEE71" w14:textId="0D5DB4BF" w:rsidR="00357D0D" w:rsidRPr="004B7EE4" w:rsidRDefault="00483BFF" w:rsidP="00483BFF">
      <w:pPr>
        <w:numPr>
          <w:ilvl w:val="0"/>
          <w:numId w:val="18"/>
        </w:numPr>
        <w:contextualSpacing/>
        <w:jc w:val="both"/>
        <w:rPr>
          <w:sz w:val="16"/>
          <w:szCs w:val="16"/>
        </w:rPr>
      </w:pPr>
      <w:bookmarkStart w:id="23" w:name="_Ref231913531"/>
      <w:r w:rsidRPr="00DF3076">
        <w:rPr>
          <w:sz w:val="16"/>
          <w:szCs w:val="16"/>
        </w:rPr>
        <w:t xml:space="preserve">X. Yu et al., Rev. Sci. </w:t>
      </w:r>
      <w:proofErr w:type="spellStart"/>
      <w:r w:rsidRPr="00DF3076">
        <w:rPr>
          <w:sz w:val="16"/>
          <w:szCs w:val="16"/>
        </w:rPr>
        <w:t>Instrum</w:t>
      </w:r>
      <w:proofErr w:type="spellEnd"/>
      <w:r w:rsidRPr="00DF3076">
        <w:rPr>
          <w:sz w:val="16"/>
          <w:szCs w:val="16"/>
        </w:rPr>
        <w:t>. 97, 053501 (2026)</w:t>
      </w:r>
      <w:r w:rsidR="00357D0D" w:rsidRPr="004B7EE4">
        <w:rPr>
          <w:rFonts w:hint="eastAsia"/>
          <w:sz w:val="16"/>
          <w:szCs w:val="16"/>
        </w:rPr>
        <w:t>.</w:t>
      </w:r>
      <w:bookmarkEnd w:id="23"/>
    </w:p>
    <w:p w14:paraId="0F343574" w14:textId="0EDE73E1" w:rsidR="00357D0D" w:rsidRPr="004B7EE4" w:rsidRDefault="00483BFF" w:rsidP="00483BFF">
      <w:pPr>
        <w:numPr>
          <w:ilvl w:val="0"/>
          <w:numId w:val="18"/>
        </w:numPr>
        <w:contextualSpacing/>
        <w:jc w:val="both"/>
        <w:rPr>
          <w:sz w:val="16"/>
          <w:szCs w:val="16"/>
        </w:rPr>
      </w:pPr>
      <w:bookmarkStart w:id="24" w:name="_Ref231913533"/>
      <w:r w:rsidRPr="00DF3076">
        <w:rPr>
          <w:sz w:val="16"/>
          <w:szCs w:val="16"/>
        </w:rPr>
        <w:t>X. Li et al., Fusion Sci. Technol.</w:t>
      </w:r>
      <w:r w:rsidR="00357D0D" w:rsidRPr="004B7EE4">
        <w:rPr>
          <w:sz w:val="16"/>
          <w:szCs w:val="16"/>
        </w:rPr>
        <w:t xml:space="preserve"> (2025): 1-9</w:t>
      </w:r>
      <w:r w:rsidR="00357D0D" w:rsidRPr="004B7EE4">
        <w:rPr>
          <w:rFonts w:hint="eastAsia"/>
          <w:sz w:val="16"/>
          <w:szCs w:val="16"/>
        </w:rPr>
        <w:t>.</w:t>
      </w:r>
      <w:bookmarkEnd w:id="24"/>
    </w:p>
    <w:p w14:paraId="60F352CB" w14:textId="7019D89F" w:rsidR="00357D0D" w:rsidRPr="004B7EE4" w:rsidRDefault="00483BFF" w:rsidP="00483BFF">
      <w:pPr>
        <w:numPr>
          <w:ilvl w:val="0"/>
          <w:numId w:val="18"/>
        </w:numPr>
        <w:contextualSpacing/>
        <w:jc w:val="both"/>
        <w:rPr>
          <w:sz w:val="16"/>
          <w:szCs w:val="16"/>
        </w:rPr>
      </w:pPr>
      <w:bookmarkStart w:id="25" w:name="_Ref231913558"/>
      <w:r w:rsidRPr="00DF3076">
        <w:rPr>
          <w:sz w:val="16"/>
          <w:szCs w:val="16"/>
        </w:rPr>
        <w:t xml:space="preserve">J. Damba et al., Rev. Sci. </w:t>
      </w:r>
      <w:proofErr w:type="spellStart"/>
      <w:r w:rsidRPr="00DF3076">
        <w:rPr>
          <w:sz w:val="16"/>
          <w:szCs w:val="16"/>
        </w:rPr>
        <w:t>Instrum</w:t>
      </w:r>
      <w:proofErr w:type="spellEnd"/>
      <w:r w:rsidRPr="00DF3076">
        <w:rPr>
          <w:sz w:val="16"/>
          <w:szCs w:val="16"/>
        </w:rPr>
        <w:t>. 93, 103505 (2022)</w:t>
      </w:r>
      <w:r w:rsidR="00357D0D" w:rsidRPr="004B7EE4">
        <w:rPr>
          <w:sz w:val="16"/>
          <w:szCs w:val="16"/>
        </w:rPr>
        <w:t>.</w:t>
      </w:r>
      <w:bookmarkEnd w:id="25"/>
    </w:p>
    <w:p w14:paraId="71BC23AA" w14:textId="77777777" w:rsidR="00357D0D" w:rsidRPr="004B7EE4" w:rsidRDefault="00357D0D" w:rsidP="00483BFF">
      <w:pPr>
        <w:numPr>
          <w:ilvl w:val="0"/>
          <w:numId w:val="18"/>
        </w:numPr>
        <w:contextualSpacing/>
        <w:jc w:val="both"/>
        <w:rPr>
          <w:sz w:val="16"/>
          <w:szCs w:val="16"/>
        </w:rPr>
      </w:pPr>
      <w:bookmarkStart w:id="26" w:name="_Ref231913582"/>
      <w:r w:rsidRPr="004B7EE4">
        <w:rPr>
          <w:sz w:val="16"/>
          <w:szCs w:val="16"/>
        </w:rPr>
        <w:t>Studio, CST Microwave. "CST Microwave studio." 2008</w:t>
      </w:r>
      <w:r w:rsidRPr="004B7EE4">
        <w:rPr>
          <w:rFonts w:hint="eastAsia"/>
          <w:sz w:val="16"/>
          <w:szCs w:val="16"/>
        </w:rPr>
        <w:t>.</w:t>
      </w:r>
      <w:bookmarkEnd w:id="26"/>
    </w:p>
    <w:p w14:paraId="59B11C81" w14:textId="6A1586B6" w:rsidR="00357D0D" w:rsidRPr="004B7EE4" w:rsidRDefault="00483BFF" w:rsidP="00483BFF">
      <w:pPr>
        <w:numPr>
          <w:ilvl w:val="0"/>
          <w:numId w:val="18"/>
        </w:numPr>
        <w:contextualSpacing/>
        <w:jc w:val="both"/>
        <w:rPr>
          <w:sz w:val="16"/>
          <w:szCs w:val="16"/>
        </w:rPr>
      </w:pPr>
      <w:bookmarkStart w:id="27" w:name="_Ref231913615"/>
      <w:r w:rsidRPr="00DF3076">
        <w:rPr>
          <w:sz w:val="16"/>
          <w:szCs w:val="16"/>
        </w:rPr>
        <w:t xml:space="preserve">S. J. Yaseen et al., Int. J. </w:t>
      </w:r>
      <w:proofErr w:type="spellStart"/>
      <w:r w:rsidRPr="00DF3076">
        <w:rPr>
          <w:sz w:val="16"/>
          <w:szCs w:val="16"/>
        </w:rPr>
        <w:t>Thermofluids</w:t>
      </w:r>
      <w:proofErr w:type="spellEnd"/>
      <w:r w:rsidRPr="00DF3076">
        <w:rPr>
          <w:sz w:val="16"/>
          <w:szCs w:val="16"/>
        </w:rPr>
        <w:t xml:space="preserve"> 23, 100759 (2024)</w:t>
      </w:r>
      <w:r w:rsidR="00357D0D" w:rsidRPr="004B7EE4">
        <w:rPr>
          <w:sz w:val="16"/>
          <w:szCs w:val="16"/>
        </w:rPr>
        <w:t>.</w:t>
      </w:r>
      <w:bookmarkEnd w:id="27"/>
    </w:p>
    <w:p w14:paraId="1C83FEEF" w14:textId="77777777" w:rsidR="00A11F03" w:rsidRDefault="00A11F03" w:rsidP="003B242A">
      <w:pPr>
        <w:jc w:val="both"/>
        <w:rPr>
          <w:sz w:val="16"/>
          <w:szCs w:val="16"/>
          <w:vertAlign w:val="superscript"/>
          <w:lang w:val="fr-FR" w:eastAsia="zh-CN"/>
        </w:rPr>
      </w:pPr>
    </w:p>
    <w:p w14:paraId="2058FCCC" w14:textId="77777777" w:rsidR="00E16F15" w:rsidRPr="0081113E" w:rsidRDefault="00E16F15" w:rsidP="004B7EE4">
      <w:pPr>
        <w:jc w:val="both"/>
        <w:rPr>
          <w:sz w:val="16"/>
          <w:szCs w:val="16"/>
          <w:lang w:eastAsia="zh-CN"/>
        </w:rPr>
      </w:pPr>
    </w:p>
    <w:p w14:paraId="3B138A5E" w14:textId="0FD63DEE" w:rsidR="0067457F" w:rsidRPr="006622EE" w:rsidRDefault="0067457F" w:rsidP="0067457F">
      <w:pPr>
        <w:jc w:val="both"/>
        <w:rPr>
          <w:rFonts w:ascii="Arial" w:hAnsi="Arial"/>
          <w:sz w:val="20"/>
          <w:szCs w:val="16"/>
          <w:lang w:eastAsia="zh-CN"/>
        </w:rPr>
      </w:pPr>
    </w:p>
    <w:sectPr w:rsidR="0067457F" w:rsidRPr="006622EE" w:rsidSect="00D57BD2">
      <w:type w:val="continuous"/>
      <w:pgSz w:w="12240" w:h="15840"/>
      <w:pgMar w:top="1440" w:right="1008" w:bottom="720" w:left="100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AF5E" w14:textId="77777777" w:rsidR="00866CD9" w:rsidRDefault="00866CD9">
      <w:r>
        <w:separator/>
      </w:r>
    </w:p>
  </w:endnote>
  <w:endnote w:type="continuationSeparator" w:id="0">
    <w:p w14:paraId="20D14454" w14:textId="77777777" w:rsidR="00866CD9" w:rsidRDefault="00866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6FDF" w14:textId="77777777" w:rsidR="0067457F" w:rsidRDefault="0067457F" w:rsidP="006745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248ECA" w14:textId="77777777" w:rsidR="0067457F" w:rsidRDefault="0067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917E" w14:textId="77777777" w:rsidR="00866CD9" w:rsidRDefault="00866CD9">
      <w:r>
        <w:separator/>
      </w:r>
    </w:p>
  </w:footnote>
  <w:footnote w:type="continuationSeparator" w:id="0">
    <w:p w14:paraId="679D1D7D" w14:textId="77777777" w:rsidR="00866CD9" w:rsidRDefault="00866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283A" w14:textId="77777777" w:rsidR="0067457F" w:rsidRDefault="0067457F">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D706F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2A025E"/>
    <w:multiLevelType w:val="hybridMultilevel"/>
    <w:tmpl w:val="0226ED74"/>
    <w:lvl w:ilvl="0" w:tplc="F8F8C6E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C26AD"/>
    <w:multiLevelType w:val="hybridMultilevel"/>
    <w:tmpl w:val="CC820B32"/>
    <w:lvl w:ilvl="0" w:tplc="5F8E4A78">
      <w:start w:val="1"/>
      <w:numFmt w:val="decimal"/>
      <w:lvlText w:val="%1"/>
      <w:lvlJc w:val="left"/>
      <w:pPr>
        <w:tabs>
          <w:tab w:val="num" w:pos="72"/>
        </w:tabs>
        <w:ind w:left="288" w:hanging="216"/>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1387"/>
    <w:multiLevelType w:val="hybridMultilevel"/>
    <w:tmpl w:val="67B61264"/>
    <w:lvl w:ilvl="0" w:tplc="F8F8C6E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43EB6"/>
    <w:multiLevelType w:val="hybridMultilevel"/>
    <w:tmpl w:val="CA721D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0E36F64"/>
    <w:multiLevelType w:val="hybridMultilevel"/>
    <w:tmpl w:val="524EE9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4725B2A"/>
    <w:multiLevelType w:val="hybridMultilevel"/>
    <w:tmpl w:val="4626AC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82174"/>
    <w:multiLevelType w:val="multilevel"/>
    <w:tmpl w:val="102A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47F3A"/>
    <w:multiLevelType w:val="hybridMultilevel"/>
    <w:tmpl w:val="3634B8E8"/>
    <w:lvl w:ilvl="0" w:tplc="FBFEFEB4">
      <w:start w:val="1"/>
      <w:numFmt w:val="decimal"/>
      <w:lvlText w:val="[%1]"/>
      <w:lvlJc w:val="left"/>
      <w:pPr>
        <w:tabs>
          <w:tab w:val="num" w:pos="-2543"/>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3D8"/>
    <w:multiLevelType w:val="hybridMultilevel"/>
    <w:tmpl w:val="49DAB190"/>
    <w:lvl w:ilvl="0" w:tplc="E2488D7A">
      <w:start w:val="1"/>
      <w:numFmt w:val="decimal"/>
      <w:lvlText w:val="%1"/>
      <w:lvlJc w:val="left"/>
      <w:pPr>
        <w:ind w:left="29" w:firstLine="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037F4B"/>
    <w:multiLevelType w:val="hybridMultilevel"/>
    <w:tmpl w:val="5118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1D3AF8"/>
    <w:multiLevelType w:val="hybridMultilevel"/>
    <w:tmpl w:val="7304E018"/>
    <w:lvl w:ilvl="0" w:tplc="91A4C3B4">
      <w:start w:val="1"/>
      <w:numFmt w:val="upperRoman"/>
      <w:lvlText w:val="%1."/>
      <w:lvlJc w:val="left"/>
      <w:pPr>
        <w:tabs>
          <w:tab w:val="num" w:pos="765"/>
        </w:tabs>
        <w:ind w:left="765" w:hanging="72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12" w15:restartNumberingAfterBreak="0">
    <w:nsid w:val="56FD6C84"/>
    <w:multiLevelType w:val="hybridMultilevel"/>
    <w:tmpl w:val="346C6616"/>
    <w:lvl w:ilvl="0" w:tplc="0F58FE30">
      <w:start w:val="1"/>
      <w:numFmt w:val="upperRoman"/>
      <w:lvlText w:val="%1."/>
      <w:lvlJc w:val="left"/>
      <w:pPr>
        <w:tabs>
          <w:tab w:val="num" w:pos="765"/>
        </w:tabs>
        <w:ind w:left="765" w:hanging="720"/>
      </w:pPr>
      <w:rPr>
        <w:rFonts w:hint="default"/>
        <w:b/>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13" w15:restartNumberingAfterBreak="0">
    <w:nsid w:val="62CF5E57"/>
    <w:multiLevelType w:val="multilevel"/>
    <w:tmpl w:val="D08C12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678E7902"/>
    <w:multiLevelType w:val="hybridMultilevel"/>
    <w:tmpl w:val="58D429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6A3E1024"/>
    <w:multiLevelType w:val="hybridMultilevel"/>
    <w:tmpl w:val="96BAF71E"/>
    <w:lvl w:ilvl="0" w:tplc="7CE835B2">
      <w:start w:val="1"/>
      <w:numFmt w:val="decimal"/>
      <w:lvlText w:val="%1"/>
      <w:lvlJc w:val="left"/>
      <w:pPr>
        <w:ind w:left="72" w:hanging="72"/>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94A29"/>
    <w:multiLevelType w:val="hybridMultilevel"/>
    <w:tmpl w:val="6B68DA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216D6"/>
    <w:multiLevelType w:val="hybridMultilevel"/>
    <w:tmpl w:val="10EA5000"/>
    <w:lvl w:ilvl="0" w:tplc="C7B88BB4">
      <w:start w:val="1"/>
      <w:numFmt w:val="lowerLetter"/>
      <w:lvlText w:val="%1)"/>
      <w:lvlJc w:val="left"/>
      <w:pPr>
        <w:ind w:left="720" w:hanging="360"/>
      </w:pPr>
      <w:rPr>
        <w:rFonts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1929044">
    <w:abstractNumId w:val="8"/>
  </w:num>
  <w:num w:numId="2" w16cid:durableId="794255476">
    <w:abstractNumId w:val="13"/>
  </w:num>
  <w:num w:numId="3" w16cid:durableId="406076017">
    <w:abstractNumId w:val="11"/>
  </w:num>
  <w:num w:numId="4" w16cid:durableId="159782754">
    <w:abstractNumId w:val="12"/>
  </w:num>
  <w:num w:numId="5" w16cid:durableId="1892574018">
    <w:abstractNumId w:val="17"/>
  </w:num>
  <w:num w:numId="6" w16cid:durableId="1540169219">
    <w:abstractNumId w:val="16"/>
  </w:num>
  <w:num w:numId="7" w16cid:durableId="384335544">
    <w:abstractNumId w:val="0"/>
  </w:num>
  <w:num w:numId="8" w16cid:durableId="772171710">
    <w:abstractNumId w:val="10"/>
  </w:num>
  <w:num w:numId="9" w16cid:durableId="514929927">
    <w:abstractNumId w:val="3"/>
  </w:num>
  <w:num w:numId="10" w16cid:durableId="1513183343">
    <w:abstractNumId w:val="1"/>
  </w:num>
  <w:num w:numId="11" w16cid:durableId="1319379700">
    <w:abstractNumId w:val="4"/>
  </w:num>
  <w:num w:numId="12" w16cid:durableId="10183201">
    <w:abstractNumId w:val="14"/>
  </w:num>
  <w:num w:numId="13" w16cid:durableId="1207522222">
    <w:abstractNumId w:val="6"/>
  </w:num>
  <w:num w:numId="14" w16cid:durableId="653027802">
    <w:abstractNumId w:val="5"/>
  </w:num>
  <w:num w:numId="15" w16cid:durableId="1553694698">
    <w:abstractNumId w:val="7"/>
  </w:num>
  <w:num w:numId="16" w16cid:durableId="404886634">
    <w:abstractNumId w:val="15"/>
  </w:num>
  <w:num w:numId="17" w16cid:durableId="2084718641">
    <w:abstractNumId w:val="9"/>
  </w:num>
  <w:num w:numId="18" w16cid:durableId="1327319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o:allowoverlap="f"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91"/>
    <w:rsid w:val="00006624"/>
    <w:rsid w:val="00012D42"/>
    <w:rsid w:val="00014104"/>
    <w:rsid w:val="000172C4"/>
    <w:rsid w:val="00032EF0"/>
    <w:rsid w:val="00036F44"/>
    <w:rsid w:val="00041084"/>
    <w:rsid w:val="000553E6"/>
    <w:rsid w:val="00074104"/>
    <w:rsid w:val="000839BF"/>
    <w:rsid w:val="00086623"/>
    <w:rsid w:val="00093795"/>
    <w:rsid w:val="000969ED"/>
    <w:rsid w:val="000A309A"/>
    <w:rsid w:val="000C013B"/>
    <w:rsid w:val="000C3ACC"/>
    <w:rsid w:val="000E2B57"/>
    <w:rsid w:val="000E3E2B"/>
    <w:rsid w:val="000E7009"/>
    <w:rsid w:val="000F3A25"/>
    <w:rsid w:val="0011656B"/>
    <w:rsid w:val="00117248"/>
    <w:rsid w:val="0011747B"/>
    <w:rsid w:val="001524FA"/>
    <w:rsid w:val="00164A78"/>
    <w:rsid w:val="001709FB"/>
    <w:rsid w:val="001712DF"/>
    <w:rsid w:val="001740B1"/>
    <w:rsid w:val="00175B2D"/>
    <w:rsid w:val="00181AE7"/>
    <w:rsid w:val="00186B23"/>
    <w:rsid w:val="001960C3"/>
    <w:rsid w:val="001C6BD0"/>
    <w:rsid w:val="001D0EE0"/>
    <w:rsid w:val="001F7AB8"/>
    <w:rsid w:val="002150FC"/>
    <w:rsid w:val="00223381"/>
    <w:rsid w:val="002238DD"/>
    <w:rsid w:val="00254423"/>
    <w:rsid w:val="002567DE"/>
    <w:rsid w:val="00265DAF"/>
    <w:rsid w:val="00266B53"/>
    <w:rsid w:val="002918CC"/>
    <w:rsid w:val="002A12B7"/>
    <w:rsid w:val="002A3D80"/>
    <w:rsid w:val="002A4BB3"/>
    <w:rsid w:val="002C0DD2"/>
    <w:rsid w:val="002C5F1D"/>
    <w:rsid w:val="002D027B"/>
    <w:rsid w:val="002D033E"/>
    <w:rsid w:val="002D5BDC"/>
    <w:rsid w:val="002D6487"/>
    <w:rsid w:val="002D6D8B"/>
    <w:rsid w:val="002D7011"/>
    <w:rsid w:val="002E3ECF"/>
    <w:rsid w:val="002E3EDA"/>
    <w:rsid w:val="00303CE1"/>
    <w:rsid w:val="00357846"/>
    <w:rsid w:val="00357D0D"/>
    <w:rsid w:val="0037625F"/>
    <w:rsid w:val="0038423A"/>
    <w:rsid w:val="003B242A"/>
    <w:rsid w:val="003C1F34"/>
    <w:rsid w:val="003C25A7"/>
    <w:rsid w:val="003C3104"/>
    <w:rsid w:val="003D6F2E"/>
    <w:rsid w:val="00427AE4"/>
    <w:rsid w:val="0043084F"/>
    <w:rsid w:val="0043359D"/>
    <w:rsid w:val="00434BB1"/>
    <w:rsid w:val="00437338"/>
    <w:rsid w:val="0044416A"/>
    <w:rsid w:val="00461117"/>
    <w:rsid w:val="00475CC1"/>
    <w:rsid w:val="00483BFF"/>
    <w:rsid w:val="004A22EA"/>
    <w:rsid w:val="004A62F3"/>
    <w:rsid w:val="004B7EE4"/>
    <w:rsid w:val="004C57FC"/>
    <w:rsid w:val="004D0020"/>
    <w:rsid w:val="004D1B94"/>
    <w:rsid w:val="004E75B3"/>
    <w:rsid w:val="004F26B4"/>
    <w:rsid w:val="00501B0F"/>
    <w:rsid w:val="00510E05"/>
    <w:rsid w:val="005125B2"/>
    <w:rsid w:val="00517B8A"/>
    <w:rsid w:val="00534F86"/>
    <w:rsid w:val="0054561F"/>
    <w:rsid w:val="00576568"/>
    <w:rsid w:val="00580663"/>
    <w:rsid w:val="00580703"/>
    <w:rsid w:val="005868BA"/>
    <w:rsid w:val="00594E89"/>
    <w:rsid w:val="00596145"/>
    <w:rsid w:val="005A058C"/>
    <w:rsid w:val="005A3EA4"/>
    <w:rsid w:val="005B4706"/>
    <w:rsid w:val="005B6635"/>
    <w:rsid w:val="005F171B"/>
    <w:rsid w:val="005F52F3"/>
    <w:rsid w:val="005F5945"/>
    <w:rsid w:val="005F62C5"/>
    <w:rsid w:val="006038DE"/>
    <w:rsid w:val="00604EB6"/>
    <w:rsid w:val="006274F8"/>
    <w:rsid w:val="006326A1"/>
    <w:rsid w:val="00637BF1"/>
    <w:rsid w:val="0064769F"/>
    <w:rsid w:val="006605FD"/>
    <w:rsid w:val="00660796"/>
    <w:rsid w:val="0066167D"/>
    <w:rsid w:val="00673EFF"/>
    <w:rsid w:val="0067457F"/>
    <w:rsid w:val="00674BB2"/>
    <w:rsid w:val="00674E96"/>
    <w:rsid w:val="006773E2"/>
    <w:rsid w:val="00677704"/>
    <w:rsid w:val="006829B6"/>
    <w:rsid w:val="00694D4A"/>
    <w:rsid w:val="006B1AED"/>
    <w:rsid w:val="006C27A5"/>
    <w:rsid w:val="006D6622"/>
    <w:rsid w:val="006E4C89"/>
    <w:rsid w:val="00703ABC"/>
    <w:rsid w:val="007138D0"/>
    <w:rsid w:val="00722BD8"/>
    <w:rsid w:val="00732A45"/>
    <w:rsid w:val="00736DF7"/>
    <w:rsid w:val="00737BA9"/>
    <w:rsid w:val="00752C25"/>
    <w:rsid w:val="007567DF"/>
    <w:rsid w:val="00761BF5"/>
    <w:rsid w:val="00772299"/>
    <w:rsid w:val="00774CF1"/>
    <w:rsid w:val="00775008"/>
    <w:rsid w:val="007763A0"/>
    <w:rsid w:val="00776757"/>
    <w:rsid w:val="00781211"/>
    <w:rsid w:val="00796F38"/>
    <w:rsid w:val="007A2E2C"/>
    <w:rsid w:val="007C3C3A"/>
    <w:rsid w:val="007D0809"/>
    <w:rsid w:val="007D1F26"/>
    <w:rsid w:val="007E7367"/>
    <w:rsid w:val="007F3C61"/>
    <w:rsid w:val="007F4B76"/>
    <w:rsid w:val="0080421B"/>
    <w:rsid w:val="0081113E"/>
    <w:rsid w:val="008116AE"/>
    <w:rsid w:val="008210B0"/>
    <w:rsid w:val="0082340C"/>
    <w:rsid w:val="0082509E"/>
    <w:rsid w:val="00837372"/>
    <w:rsid w:val="00843C10"/>
    <w:rsid w:val="0085018F"/>
    <w:rsid w:val="0085610B"/>
    <w:rsid w:val="0085677F"/>
    <w:rsid w:val="00866357"/>
    <w:rsid w:val="00866CD9"/>
    <w:rsid w:val="0088079D"/>
    <w:rsid w:val="00882494"/>
    <w:rsid w:val="00886C3D"/>
    <w:rsid w:val="00890451"/>
    <w:rsid w:val="008A3AD5"/>
    <w:rsid w:val="008A5BD6"/>
    <w:rsid w:val="008C65C0"/>
    <w:rsid w:val="008D1BF5"/>
    <w:rsid w:val="008D623A"/>
    <w:rsid w:val="008D7185"/>
    <w:rsid w:val="008E4A08"/>
    <w:rsid w:val="008E6874"/>
    <w:rsid w:val="008F2AA5"/>
    <w:rsid w:val="00923764"/>
    <w:rsid w:val="00941FAF"/>
    <w:rsid w:val="0097126D"/>
    <w:rsid w:val="00993406"/>
    <w:rsid w:val="009943C2"/>
    <w:rsid w:val="009B6430"/>
    <w:rsid w:val="009C1F9A"/>
    <w:rsid w:val="009C6CF1"/>
    <w:rsid w:val="009D085D"/>
    <w:rsid w:val="009E4166"/>
    <w:rsid w:val="00A05C0F"/>
    <w:rsid w:val="00A11F03"/>
    <w:rsid w:val="00A21CF7"/>
    <w:rsid w:val="00A33CB3"/>
    <w:rsid w:val="00A406DF"/>
    <w:rsid w:val="00A4122B"/>
    <w:rsid w:val="00A421B1"/>
    <w:rsid w:val="00A455B1"/>
    <w:rsid w:val="00A47682"/>
    <w:rsid w:val="00A47750"/>
    <w:rsid w:val="00A724A0"/>
    <w:rsid w:val="00A847CC"/>
    <w:rsid w:val="00A84B44"/>
    <w:rsid w:val="00A85A9A"/>
    <w:rsid w:val="00AA48C8"/>
    <w:rsid w:val="00AB375F"/>
    <w:rsid w:val="00AB4BE4"/>
    <w:rsid w:val="00AB4D63"/>
    <w:rsid w:val="00AC3E2F"/>
    <w:rsid w:val="00AD16B3"/>
    <w:rsid w:val="00AE471A"/>
    <w:rsid w:val="00AE55FB"/>
    <w:rsid w:val="00AF64C6"/>
    <w:rsid w:val="00B00C81"/>
    <w:rsid w:val="00B2021B"/>
    <w:rsid w:val="00B21014"/>
    <w:rsid w:val="00B227ED"/>
    <w:rsid w:val="00B265A3"/>
    <w:rsid w:val="00B26F1D"/>
    <w:rsid w:val="00B51036"/>
    <w:rsid w:val="00B53204"/>
    <w:rsid w:val="00B604A9"/>
    <w:rsid w:val="00B63F69"/>
    <w:rsid w:val="00B807DE"/>
    <w:rsid w:val="00B82285"/>
    <w:rsid w:val="00B85794"/>
    <w:rsid w:val="00B85EC8"/>
    <w:rsid w:val="00B92526"/>
    <w:rsid w:val="00BD69EC"/>
    <w:rsid w:val="00BD6E92"/>
    <w:rsid w:val="00BE2ABB"/>
    <w:rsid w:val="00BE3F89"/>
    <w:rsid w:val="00C05568"/>
    <w:rsid w:val="00C11F97"/>
    <w:rsid w:val="00C202EC"/>
    <w:rsid w:val="00C205A6"/>
    <w:rsid w:val="00C24EA1"/>
    <w:rsid w:val="00C264E6"/>
    <w:rsid w:val="00C30B14"/>
    <w:rsid w:val="00C47EBF"/>
    <w:rsid w:val="00C543FC"/>
    <w:rsid w:val="00C64FDE"/>
    <w:rsid w:val="00C7082F"/>
    <w:rsid w:val="00C9051C"/>
    <w:rsid w:val="00CA1AB1"/>
    <w:rsid w:val="00CA5D23"/>
    <w:rsid w:val="00CC18A2"/>
    <w:rsid w:val="00CC7CB3"/>
    <w:rsid w:val="00CC7E0A"/>
    <w:rsid w:val="00CD4509"/>
    <w:rsid w:val="00CF517A"/>
    <w:rsid w:val="00D131B8"/>
    <w:rsid w:val="00D400F6"/>
    <w:rsid w:val="00D56DD4"/>
    <w:rsid w:val="00D57BD2"/>
    <w:rsid w:val="00D663A6"/>
    <w:rsid w:val="00D801FC"/>
    <w:rsid w:val="00D844AA"/>
    <w:rsid w:val="00D847F4"/>
    <w:rsid w:val="00D85730"/>
    <w:rsid w:val="00D91893"/>
    <w:rsid w:val="00D93BFB"/>
    <w:rsid w:val="00DA6C60"/>
    <w:rsid w:val="00DB5DF6"/>
    <w:rsid w:val="00DC4BB9"/>
    <w:rsid w:val="00DC620A"/>
    <w:rsid w:val="00DD0ED1"/>
    <w:rsid w:val="00DD7169"/>
    <w:rsid w:val="00DE6EE2"/>
    <w:rsid w:val="00DF7285"/>
    <w:rsid w:val="00E013FB"/>
    <w:rsid w:val="00E16F15"/>
    <w:rsid w:val="00E330AF"/>
    <w:rsid w:val="00E35652"/>
    <w:rsid w:val="00E35C3C"/>
    <w:rsid w:val="00E42BB7"/>
    <w:rsid w:val="00E43B87"/>
    <w:rsid w:val="00E610D1"/>
    <w:rsid w:val="00E63B25"/>
    <w:rsid w:val="00E71D1A"/>
    <w:rsid w:val="00E839EC"/>
    <w:rsid w:val="00E83A44"/>
    <w:rsid w:val="00EA1164"/>
    <w:rsid w:val="00EA301C"/>
    <w:rsid w:val="00EA3B53"/>
    <w:rsid w:val="00EB39AA"/>
    <w:rsid w:val="00EB3E44"/>
    <w:rsid w:val="00EC7E41"/>
    <w:rsid w:val="00EE4B97"/>
    <w:rsid w:val="00EF338E"/>
    <w:rsid w:val="00EF560B"/>
    <w:rsid w:val="00EF6652"/>
    <w:rsid w:val="00F06404"/>
    <w:rsid w:val="00F2134E"/>
    <w:rsid w:val="00F2444A"/>
    <w:rsid w:val="00F273A7"/>
    <w:rsid w:val="00F33395"/>
    <w:rsid w:val="00F33991"/>
    <w:rsid w:val="00F46490"/>
    <w:rsid w:val="00F61DF9"/>
    <w:rsid w:val="00F67110"/>
    <w:rsid w:val="00F7555B"/>
    <w:rsid w:val="00F7579E"/>
    <w:rsid w:val="00F75DA3"/>
    <w:rsid w:val="00F8727E"/>
    <w:rsid w:val="00F947B1"/>
    <w:rsid w:val="00F97BBB"/>
    <w:rsid w:val="00FB5627"/>
    <w:rsid w:val="00FC2C42"/>
    <w:rsid w:val="00FD1F9B"/>
    <w:rsid w:val="00FE2032"/>
    <w:rsid w:val="00FE2B9A"/>
    <w:rsid w:val="00FE3AEE"/>
    <w:rsid w:val="00FE400A"/>
    <w:rsid w:val="00FF4C7D"/>
    <w:rsid w:val="00FF560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allowoverlap="f" fill="f" fillcolor="white" stroke="f">
      <v:fill color="white" on="f"/>
      <v:stroke on="f"/>
    </o:shapedefaults>
    <o:shapelayout v:ext="edit">
      <o:idmap v:ext="edit" data="2"/>
    </o:shapelayout>
  </w:shapeDefaults>
  <w:decimalSymbol w:val="."/>
  <w:listSeparator w:val=","/>
  <w14:docId w14:val="78DE9F88"/>
  <w15:docId w15:val="{ABA38EC0-9F67-48AA-B7F6-C37898BC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33991"/>
    <w:pPr>
      <w:spacing w:before="100" w:beforeAutospacing="1" w:after="100" w:afterAutospacing="1"/>
    </w:pPr>
  </w:style>
  <w:style w:type="character" w:styleId="Strong">
    <w:name w:val="Strong"/>
    <w:qFormat/>
    <w:rsid w:val="00F33991"/>
    <w:rPr>
      <w:b/>
      <w:bCs/>
    </w:rPr>
  </w:style>
  <w:style w:type="character" w:styleId="Emphasis">
    <w:name w:val="Emphasis"/>
    <w:qFormat/>
    <w:rsid w:val="00F33991"/>
    <w:rPr>
      <w:i/>
      <w:iCs/>
    </w:rPr>
  </w:style>
  <w:style w:type="table" w:styleId="TableGrid">
    <w:name w:val="Table Grid"/>
    <w:basedOn w:val="TableNormal"/>
    <w:rsid w:val="00DB10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87DF3"/>
    <w:pPr>
      <w:tabs>
        <w:tab w:val="center" w:pos="4320"/>
        <w:tab w:val="right" w:pos="8640"/>
      </w:tabs>
    </w:pPr>
    <w:rPr>
      <w:lang w:val="x-none" w:eastAsia="x-none"/>
    </w:rPr>
  </w:style>
  <w:style w:type="character" w:styleId="PageNumber">
    <w:name w:val="page number"/>
    <w:basedOn w:val="DefaultParagraphFont"/>
    <w:rsid w:val="00387DF3"/>
  </w:style>
  <w:style w:type="character" w:styleId="Hyperlink">
    <w:name w:val="Hyperlink"/>
    <w:rsid w:val="00B66D89"/>
    <w:rPr>
      <w:color w:val="0000FF"/>
      <w:u w:val="single"/>
    </w:rPr>
  </w:style>
  <w:style w:type="paragraph" w:styleId="BalloonText">
    <w:name w:val="Balloon Text"/>
    <w:basedOn w:val="Normal"/>
    <w:semiHidden/>
    <w:rsid w:val="00535ADE"/>
    <w:rPr>
      <w:rFonts w:ascii="Tahoma" w:hAnsi="Tahoma" w:cs="Tahoma"/>
      <w:sz w:val="16"/>
      <w:szCs w:val="16"/>
    </w:rPr>
  </w:style>
  <w:style w:type="character" w:styleId="CommentReference">
    <w:name w:val="annotation reference"/>
    <w:semiHidden/>
    <w:rsid w:val="00C51314"/>
    <w:rPr>
      <w:sz w:val="16"/>
      <w:szCs w:val="16"/>
    </w:rPr>
  </w:style>
  <w:style w:type="paragraph" w:styleId="CommentText">
    <w:name w:val="annotation text"/>
    <w:basedOn w:val="Normal"/>
    <w:semiHidden/>
    <w:rsid w:val="00C51314"/>
    <w:rPr>
      <w:sz w:val="20"/>
      <w:szCs w:val="20"/>
    </w:rPr>
  </w:style>
  <w:style w:type="paragraph" w:styleId="CommentSubject">
    <w:name w:val="annotation subject"/>
    <w:basedOn w:val="CommentText"/>
    <w:next w:val="CommentText"/>
    <w:semiHidden/>
    <w:rsid w:val="00C51314"/>
    <w:rPr>
      <w:b/>
      <w:bCs/>
    </w:rPr>
  </w:style>
  <w:style w:type="paragraph" w:styleId="Header">
    <w:name w:val="header"/>
    <w:basedOn w:val="Normal"/>
    <w:link w:val="HeaderChar"/>
    <w:rsid w:val="001D2CFB"/>
    <w:pPr>
      <w:tabs>
        <w:tab w:val="center" w:pos="4680"/>
        <w:tab w:val="right" w:pos="9360"/>
      </w:tabs>
    </w:pPr>
    <w:rPr>
      <w:lang w:val="x-none" w:eastAsia="x-none"/>
    </w:rPr>
  </w:style>
  <w:style w:type="character" w:customStyle="1" w:styleId="HeaderChar">
    <w:name w:val="Header Char"/>
    <w:link w:val="Header"/>
    <w:rsid w:val="001D2CFB"/>
    <w:rPr>
      <w:sz w:val="24"/>
      <w:szCs w:val="24"/>
    </w:rPr>
  </w:style>
  <w:style w:type="character" w:customStyle="1" w:styleId="FooterChar">
    <w:name w:val="Footer Char"/>
    <w:link w:val="Footer"/>
    <w:uiPriority w:val="99"/>
    <w:rsid w:val="001D2CFB"/>
    <w:rPr>
      <w:sz w:val="24"/>
      <w:szCs w:val="24"/>
    </w:rPr>
  </w:style>
  <w:style w:type="paragraph" w:customStyle="1" w:styleId="StyleNormalWebLeft05Right048">
    <w:name w:val="Style Normal (Web) + Left:  0.5&quot; Right:  0.48&quot;"/>
    <w:basedOn w:val="Normal"/>
    <w:rsid w:val="00D80F8C"/>
    <w:pPr>
      <w:shd w:val="clear" w:color="auto" w:fill="FFFFFF"/>
      <w:ind w:left="720" w:right="684"/>
    </w:pPr>
    <w:rPr>
      <w:szCs w:val="20"/>
    </w:rPr>
  </w:style>
  <w:style w:type="paragraph" w:styleId="FootnoteText">
    <w:name w:val="footnote text"/>
    <w:basedOn w:val="Normal"/>
    <w:semiHidden/>
    <w:rsid w:val="00A62C63"/>
    <w:rPr>
      <w:sz w:val="20"/>
      <w:szCs w:val="20"/>
    </w:rPr>
  </w:style>
  <w:style w:type="character" w:styleId="FootnoteReference">
    <w:name w:val="footnote reference"/>
    <w:semiHidden/>
    <w:rsid w:val="00A62C63"/>
    <w:rPr>
      <w:vertAlign w:val="superscript"/>
    </w:rPr>
  </w:style>
  <w:style w:type="character" w:styleId="FollowedHyperlink">
    <w:name w:val="FollowedHyperlink"/>
    <w:rsid w:val="00A24783"/>
    <w:rPr>
      <w:color w:val="800080"/>
      <w:u w:val="single"/>
    </w:rPr>
  </w:style>
  <w:style w:type="character" w:styleId="PlaceholderText">
    <w:name w:val="Placeholder Text"/>
    <w:basedOn w:val="DefaultParagraphFont"/>
    <w:uiPriority w:val="99"/>
    <w:unhideWhenUsed/>
    <w:rsid w:val="00D93BFB"/>
    <w:rPr>
      <w:color w:val="808080"/>
    </w:rPr>
  </w:style>
  <w:style w:type="character" w:customStyle="1" w:styleId="UnresolvedMention1">
    <w:name w:val="Unresolved Mention1"/>
    <w:basedOn w:val="DefaultParagraphFont"/>
    <w:uiPriority w:val="99"/>
    <w:semiHidden/>
    <w:unhideWhenUsed/>
    <w:rsid w:val="00677704"/>
    <w:rPr>
      <w:color w:val="808080"/>
      <w:shd w:val="clear" w:color="auto" w:fill="E6E6E6"/>
    </w:rPr>
  </w:style>
  <w:style w:type="paragraph" w:styleId="ListParagraph">
    <w:name w:val="List Paragraph"/>
    <w:basedOn w:val="Normal"/>
    <w:uiPriority w:val="72"/>
    <w:qFormat/>
    <w:rsid w:val="00F46490"/>
    <w:pPr>
      <w:ind w:left="720"/>
      <w:contextualSpacing/>
    </w:pPr>
  </w:style>
  <w:style w:type="character" w:customStyle="1" w:styleId="UnresolvedMention2">
    <w:name w:val="Unresolved Mention2"/>
    <w:basedOn w:val="DefaultParagraphFont"/>
    <w:uiPriority w:val="99"/>
    <w:semiHidden/>
    <w:unhideWhenUsed/>
    <w:rsid w:val="00866357"/>
    <w:rPr>
      <w:color w:val="808080"/>
      <w:shd w:val="clear" w:color="auto" w:fill="E6E6E6"/>
    </w:rPr>
  </w:style>
  <w:style w:type="character" w:styleId="UnresolvedMention">
    <w:name w:val="Unresolved Mention"/>
    <w:basedOn w:val="DefaultParagraphFont"/>
    <w:uiPriority w:val="99"/>
    <w:semiHidden/>
    <w:unhideWhenUsed/>
    <w:rsid w:val="00604EB6"/>
    <w:rPr>
      <w:color w:val="605E5C"/>
      <w:shd w:val="clear" w:color="auto" w:fill="E1DFDD"/>
    </w:rPr>
  </w:style>
  <w:style w:type="paragraph" w:styleId="Revision">
    <w:name w:val="Revision"/>
    <w:hidden/>
    <w:uiPriority w:val="71"/>
    <w:semiHidden/>
    <w:rsid w:val="00B8228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855032">
      <w:bodyDiv w:val="1"/>
      <w:marLeft w:val="0"/>
      <w:marRight w:val="0"/>
      <w:marTop w:val="0"/>
      <w:marBottom w:val="0"/>
      <w:divBdr>
        <w:top w:val="none" w:sz="0" w:space="0" w:color="auto"/>
        <w:left w:val="none" w:sz="0" w:space="0" w:color="auto"/>
        <w:bottom w:val="none" w:sz="0" w:space="0" w:color="auto"/>
        <w:right w:val="none" w:sz="0" w:space="0" w:color="auto"/>
      </w:divBdr>
    </w:div>
    <w:div w:id="627203997">
      <w:bodyDiv w:val="1"/>
      <w:marLeft w:val="60"/>
      <w:marRight w:val="60"/>
      <w:marTop w:val="60"/>
      <w:marBottom w:val="15"/>
      <w:divBdr>
        <w:top w:val="none" w:sz="0" w:space="0" w:color="auto"/>
        <w:left w:val="none" w:sz="0" w:space="0" w:color="auto"/>
        <w:bottom w:val="none" w:sz="0" w:space="0" w:color="auto"/>
        <w:right w:val="none" w:sz="0" w:space="0" w:color="auto"/>
      </w:divBdr>
    </w:div>
    <w:div w:id="1026366857">
      <w:bodyDiv w:val="1"/>
      <w:marLeft w:val="0"/>
      <w:marRight w:val="0"/>
      <w:marTop w:val="0"/>
      <w:marBottom w:val="0"/>
      <w:divBdr>
        <w:top w:val="none" w:sz="0" w:space="0" w:color="auto"/>
        <w:left w:val="none" w:sz="0" w:space="0" w:color="auto"/>
        <w:bottom w:val="none" w:sz="0" w:space="0" w:color="auto"/>
        <w:right w:val="none" w:sz="0" w:space="0" w:color="auto"/>
      </w:divBdr>
    </w:div>
    <w:div w:id="1081559764">
      <w:bodyDiv w:val="1"/>
      <w:marLeft w:val="0"/>
      <w:marRight w:val="0"/>
      <w:marTop w:val="0"/>
      <w:marBottom w:val="0"/>
      <w:divBdr>
        <w:top w:val="none" w:sz="0" w:space="0" w:color="auto"/>
        <w:left w:val="none" w:sz="0" w:space="0" w:color="auto"/>
        <w:bottom w:val="none" w:sz="0" w:space="0" w:color="auto"/>
        <w:right w:val="none" w:sz="0" w:space="0" w:color="auto"/>
      </w:divBdr>
    </w:div>
    <w:div w:id="1576278468">
      <w:bodyDiv w:val="1"/>
      <w:marLeft w:val="60"/>
      <w:marRight w:val="60"/>
      <w:marTop w:val="60"/>
      <w:marBottom w:val="15"/>
      <w:divBdr>
        <w:top w:val="none" w:sz="0" w:space="0" w:color="auto"/>
        <w:left w:val="none" w:sz="0" w:space="0" w:color="auto"/>
        <w:bottom w:val="none" w:sz="0" w:space="0" w:color="auto"/>
        <w:right w:val="none" w:sz="0" w:space="0" w:color="auto"/>
      </w:divBdr>
    </w:div>
    <w:div w:id="1632052811">
      <w:bodyDiv w:val="1"/>
      <w:marLeft w:val="15"/>
      <w:marRight w:val="15"/>
      <w:marTop w:val="15"/>
      <w:marBottom w:val="15"/>
      <w:divBdr>
        <w:top w:val="none" w:sz="0" w:space="0" w:color="auto"/>
        <w:left w:val="none" w:sz="0" w:space="0" w:color="auto"/>
        <w:bottom w:val="none" w:sz="0" w:space="0" w:color="auto"/>
        <w:right w:val="none" w:sz="0" w:space="0" w:color="auto"/>
      </w:divBdr>
      <w:divsChild>
        <w:div w:id="1009941375">
          <w:marLeft w:val="0"/>
          <w:marRight w:val="0"/>
          <w:marTop w:val="0"/>
          <w:marBottom w:val="0"/>
          <w:divBdr>
            <w:top w:val="none" w:sz="0" w:space="0" w:color="auto"/>
            <w:left w:val="none" w:sz="0" w:space="0" w:color="auto"/>
            <w:bottom w:val="none" w:sz="0" w:space="0" w:color="auto"/>
            <w:right w:val="none" w:sz="0" w:space="0" w:color="auto"/>
          </w:divBdr>
          <w:divsChild>
            <w:div w:id="2077126639">
              <w:marLeft w:val="0"/>
              <w:marRight w:val="0"/>
              <w:marTop w:val="0"/>
              <w:marBottom w:val="0"/>
              <w:divBdr>
                <w:top w:val="none" w:sz="0" w:space="0" w:color="auto"/>
                <w:left w:val="single" w:sz="48" w:space="0" w:color="E5E5E5"/>
                <w:bottom w:val="none" w:sz="0" w:space="0" w:color="auto"/>
                <w:right w:val="none" w:sz="0" w:space="0" w:color="auto"/>
              </w:divBdr>
              <w:divsChild>
                <w:div w:id="13556187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16411112">
      <w:bodyDiv w:val="1"/>
      <w:marLeft w:val="0"/>
      <w:marRight w:val="0"/>
      <w:marTop w:val="0"/>
      <w:marBottom w:val="0"/>
      <w:divBdr>
        <w:top w:val="none" w:sz="0" w:space="0" w:color="auto"/>
        <w:left w:val="none" w:sz="0" w:space="0" w:color="auto"/>
        <w:bottom w:val="none" w:sz="0" w:space="0" w:color="auto"/>
        <w:right w:val="none" w:sz="0" w:space="0" w:color="auto"/>
      </w:divBdr>
    </w:div>
    <w:div w:id="204139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1066A353873B45B1F1571B4C0C504A" ma:contentTypeVersion="14" ma:contentTypeDescription="Create a new document." ma:contentTypeScope="" ma:versionID="1bf74d2554b88f1b8858581a51504ed2">
  <xsd:schema xmlns:xsd="http://www.w3.org/2001/XMLSchema" xmlns:xs="http://www.w3.org/2001/XMLSchema" xmlns:p="http://schemas.microsoft.com/office/2006/metadata/properties" xmlns:ns1="http://schemas.microsoft.com/sharepoint/v3" xmlns:ns2="c3a8a8ca-00e5-416b-a184-163173e53f53" xmlns:ns3="248fbad7-d59a-4458-a870-d4d0628fff15" targetNamespace="http://schemas.microsoft.com/office/2006/metadata/properties" ma:root="true" ma:fieldsID="41b51ce26c192b3fe705f3fe25d40435" ns1:_="" ns2:_="" ns3:_="">
    <xsd:import namespace="http://schemas.microsoft.com/sharepoint/v3"/>
    <xsd:import namespace="c3a8a8ca-00e5-416b-a184-163173e53f53"/>
    <xsd:import namespace="248fbad7-d59a-4458-a870-d4d0628fff15"/>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8fbad7-d59a-4458-a870-d4d0628fff15"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MediaServiceAutoTags" ma:internalName="MediaServiceAutoTags"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376E098C-85DE-4536-B5E8-3A6A096A6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a8a8ca-00e5-416b-a184-163173e53f53"/>
    <ds:schemaRef ds:uri="248fbad7-d59a-4458-a870-d4d0628fff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7C76B3-BE7F-1648-8621-DE556498CEDB}">
  <ds:schemaRefs>
    <ds:schemaRef ds:uri="http://schemas.openxmlformats.org/officeDocument/2006/bibliography"/>
  </ds:schemaRefs>
</ds:datastoreItem>
</file>

<file path=customXml/itemProps3.xml><?xml version="1.0" encoding="utf-8"?>
<ds:datastoreItem xmlns:ds="http://schemas.openxmlformats.org/officeDocument/2006/customXml" ds:itemID="{01A1AB51-99A1-4BD6-AEDC-DC29E0FB39D3}">
  <ds:schemaRefs>
    <ds:schemaRef ds:uri="http://schemas.microsoft.com/sharepoint/v3/contenttype/forms"/>
  </ds:schemaRefs>
</ds:datastoreItem>
</file>

<file path=customXml/itemProps4.xml><?xml version="1.0" encoding="utf-8"?>
<ds:datastoreItem xmlns:ds="http://schemas.openxmlformats.org/officeDocument/2006/customXml" ds:itemID="{696F2B7A-5280-47CE-BD20-78D39B0D87DE}">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3811</Words>
  <Characters>21729</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Sample HTPD article for RSI</vt:lpstr>
    </vt:vector>
  </TitlesOfParts>
  <Company>AIP</Company>
  <LinksUpToDate>false</LinksUpToDate>
  <CharactersWithSpaces>25490</CharactersWithSpaces>
  <SharedDoc>false</SharedDoc>
  <HLinks>
    <vt:vector size="6" baseType="variant">
      <vt:variant>
        <vt:i4>5111876</vt:i4>
      </vt:variant>
      <vt:variant>
        <vt:i4>0</vt:i4>
      </vt:variant>
      <vt:variant>
        <vt:i4>0</vt:i4>
      </vt:variant>
      <vt:variant>
        <vt:i4>5</vt:i4>
      </vt:variant>
      <vt:variant>
        <vt:lpwstr>http://rsi-htpd.peerx-press.org/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HTPD article for RSI</dc:title>
  <dc:creator>aipuser</dc:creator>
  <cp:lastModifiedBy>Yilun Zhu</cp:lastModifiedBy>
  <cp:revision>2</cp:revision>
  <cp:lastPrinted>2026-06-09T10:03:00Z</cp:lastPrinted>
  <dcterms:created xsi:type="dcterms:W3CDTF">2026-06-09T16:21:00Z</dcterms:created>
  <dcterms:modified xsi:type="dcterms:W3CDTF">2026-06-09T16:21:00Z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0x010100C91066A353873B45B1F1571B4C0C504A</vt:lpwstr>
  </property>
</Properties>
</file>