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" w:hAnsi="Arial"/>
          <w:b/>
          <w:i w:val="0"/>
          <w:color w:val="138A8A"/>
          <w:sz w:val="18"/>
        </w:rPr>
        <w:t>DECISION BRIEF</w:t>
      </w:r>
    </w:p>
    <w:p>
      <w:pPr>
        <w:spacing w:before="0" w:after="80"/>
      </w:pPr>
      <w:r>
        <w:rPr>
          <w:rFonts w:ascii="Arial" w:hAnsi="Arial"/>
          <w:b/>
          <w:i w:val="0"/>
          <w:color w:val="17324D"/>
          <w:sz w:val="50"/>
        </w:rPr>
        <w:t>Clinical Document Generation v2</w:t>
      </w:r>
    </w:p>
    <w:p>
      <w:pPr>
        <w:spacing w:before="0" w:after="200"/>
        <w:pBdr>
          <w:bottom w:val="single" w:sz="18" w:space="8" w:color="138A8A"/>
        </w:pBdr>
      </w:pPr>
      <w:r>
        <w:rPr>
          <w:rFonts w:ascii="Arial" w:hAnsi="Arial"/>
          <w:b w:val="0"/>
          <w:i w:val="0"/>
          <w:color w:val="4B5B66"/>
          <w:sz w:val="25"/>
        </w:rPr>
        <w:t>A controlled rebuild for complete, consistent, Word-ready clinical documents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6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138A8A"/>
                <w:sz w:val="21"/>
              </w:rPr>
              <w:t xml:space="preserve">RECOMMENDATION  </w:t>
            </w:r>
            <w:r>
              <w:rPr>
                <w:rFonts w:ascii="Arial" w:hAnsi="Arial"/>
                <w:b w:val="0"/>
                <w:i w:val="0"/>
                <w:color w:val="202B33"/>
                <w:sz w:val="21"/>
              </w:rPr>
              <w:t>Approve a clean rebuild around one public workflow and six production Python modules. AI remains responsible for scoped clinical narrative; deterministic code controls facts, formatting, validation, and release.</w:t>
            </w:r>
          </w:p>
        </w:tc>
      </w:tr>
    </w:tbl>
    <w:p>
      <w:pPr>
        <w:spacing w:after="0"/>
      </w:pPr>
    </w:p>
    <w:p>
      <w:pPr>
        <w:keepNext/>
        <w:spacing w:before="40" w:after="100"/>
      </w:pPr>
      <w:r>
        <w:rPr>
          <w:rFonts w:ascii="Arial" w:hAnsi="Arial"/>
          <w:b/>
          <w:i w:val="0"/>
          <w:color w:val="17324D"/>
          <w:sz w:val="24"/>
        </w:rPr>
        <w:t>How the proposed skill works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70448" cy="3913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nical-document-generation-v2-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913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 w:val="0"/>
          <w:i/>
          <w:color w:val="4B5B66"/>
          <w:sz w:val="17"/>
        </w:rPr>
        <w:t>No partial delivery: the complete branch package passes together, or the client receives a Repair Report.</w:t>
      </w:r>
    </w:p>
    <w:p>
      <w:r>
        <w:br w:type="page"/>
      </w:r>
    </w:p>
    <w:p>
      <w:pPr>
        <w:pStyle w:val="Heading1"/>
        <w:keepNext/>
      </w:pPr>
      <w:r>
        <w:t>Where subagents are used - and where they are not</w:t>
      </w:r>
    </w:p>
    <w:p>
      <w:pPr>
        <w:spacing w:after="160"/>
      </w:pPr>
      <w:r>
        <w:rPr>
          <w:rFonts w:ascii="Arial" w:hAnsi="Arial"/>
          <w:b w:val="0"/>
          <w:i w:val="0"/>
          <w:color w:val="202B33"/>
          <w:sz w:val="21"/>
        </w:rPr>
        <w:t>The design deliberately uses AI only where clinical language requires judgment. Everything that must be repeatable, auditable, and formatting-stable remains deterministic.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Decision area</w:t>
            </w:r>
          </w:p>
        </w:tc>
        <w:tc>
          <w:tcPr>
            <w:tcW w:type="dxa" w:w="37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Subagents</w:t>
            </w:r>
          </w:p>
        </w:tc>
        <w:tc>
          <w:tcPr>
            <w:tcW w:type="dxa" w:w="39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Deterministic Python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When</w:t>
            </w:r>
          </w:p>
        </w:tc>
        <w:tc>
          <w:tcPr>
            <w:tcW w:type="dxa" w:w="37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After the Source of Truth is explicitly approved.</w:t>
            </w:r>
          </w:p>
        </w:tc>
        <w:tc>
          <w:tcPr>
            <w:tcW w:type="dxa" w:w="39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From intake through approval, and again for assembly, QA, and delivery.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What</w:t>
            </w:r>
          </w:p>
        </w:tc>
        <w:tc>
          <w:tcPr>
            <w:tcW w:type="dxa" w:w="37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Draft narrative sections and perform read-only narrative or visual review.</w:t>
            </w:r>
          </w:p>
        </w:tc>
        <w:tc>
          <w:tcPr>
            <w:tcW w:type="dxa" w:w="39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Validate inputs, enforce contracts, merge sections, render DOCX, map PRS XML, record evidence, and release.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Inputs</w:t>
            </w:r>
          </w:p>
        </w:tc>
        <w:tc>
          <w:tcPr>
            <w:tcW w:type="dxa" w:w="37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Only the approved fields relevant to assigned section IDs, plus controlled boilerplate.</w:t>
            </w:r>
          </w:p>
        </w:tc>
        <w:tc>
          <w:tcPr>
            <w:tcW w:type="dxa" w:w="39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The full approved source, versioned contracts, templates, and accepted drafts.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Authority</w:t>
            </w:r>
          </w:p>
        </w:tc>
        <w:tc>
          <w:tcPr>
            <w:tcW w:type="dxa" w:w="37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Propose text and findings. They cannot approve facts or release files.</w:t>
            </w:r>
          </w:p>
        </w:tc>
        <w:tc>
          <w:tcPr>
            <w:tcW w:type="dxa" w:w="39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Owns pass/fail decisions, retry targets, artifact hashes, and atomic handoff.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Failure behavior</w:t>
            </w:r>
          </w:p>
        </w:tc>
        <w:tc>
          <w:tcPr>
            <w:tcW w:type="dxa" w:w="37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Retry only failed sections, up to three total attempts.</w:t>
            </w:r>
          </w:p>
        </w:tc>
        <w:tc>
          <w:tcPr>
            <w:tcW w:type="dxa" w:w="39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Block release after the retry limit and produce a classified Repair Report.</w:t>
            </w:r>
          </w:p>
        </w:tc>
      </w:tr>
    </w:tbl>
    <w:p>
      <w:pPr>
        <w:pStyle w:val="Heading2"/>
        <w:keepNext/>
      </w:pPr>
      <w:r>
        <w:t>Five available drafting groups - only the branch-required groups run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 w:val="0"/>
          <w:i w:val="0"/>
          <w:color w:val="202B33"/>
          <w:sz w:val="21"/>
        </w:rPr>
        <w:t>Protocol foundations - rationale, objectives, population, and study design.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 w:val="0"/>
          <w:i w:val="0"/>
          <w:color w:val="202B33"/>
          <w:sz w:val="21"/>
        </w:rPr>
        <w:t>Protocol operations - procedures, visits, measurements, and schedules.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 w:val="0"/>
          <w:i w:val="0"/>
          <w:color w:val="202B33"/>
          <w:sz w:val="21"/>
        </w:rPr>
        <w:t>Protocol analysis and oversight - endpoints, statistics, safety, ethics, and risks.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 w:val="0"/>
          <w:i w:val="0"/>
          <w:color w:val="202B33"/>
          <w:sz w:val="21"/>
        </w:rPr>
        <w:t>ICF narrative - client-template language adapted only with approved study facts.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 w:val="0"/>
          <w:i w:val="0"/>
          <w:color w:val="202B33"/>
          <w:sz w:val="21"/>
        </w:rPr>
        <w:t>PRS narrative - brief and detailed descriptions while preserving the existing XML mapping.</w:t>
      </w:r>
    </w:p>
    <w:p>
      <w:pPr>
        <w:spacing w:after="120"/>
      </w:pPr>
      <w:r>
        <w:rPr>
          <w:rFonts w:ascii="Arial" w:hAnsi="Arial"/>
          <w:b w:val="0"/>
          <w:i/>
          <w:color w:val="4B5B66"/>
          <w:sz w:val="19"/>
        </w:rPr>
        <w:t>Prospective and Ambispective studies use all five groups. Retrospective studies use the three Protocol groups and do not launch ICF or PRS drafting.</w:t>
      </w:r>
    </w:p>
    <w:p>
      <w:pPr>
        <w:pStyle w:val="Heading2"/>
        <w:keepNext/>
      </w:pPr>
      <w:r>
        <w:t>Why this division makes sense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/>
          <w:i w:val="0"/>
          <w:color w:val="202B33"/>
          <w:sz w:val="21"/>
        </w:rPr>
        <w:t xml:space="preserve">Better writing. </w:t>
      </w:r>
      <w:r>
        <w:rPr>
          <w:rFonts w:ascii="Arial" w:hAnsi="Arial"/>
          <w:b w:val="0"/>
          <w:i w:val="0"/>
          <w:color w:val="202B33"/>
          <w:sz w:val="21"/>
        </w:rPr>
        <w:t>Specialized agents can focus on one clinical concern instead of juggling the whole package.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/>
          <w:i w:val="0"/>
          <w:color w:val="202B33"/>
          <w:sz w:val="21"/>
        </w:rPr>
        <w:t xml:space="preserve">Lower invention risk. </w:t>
      </w:r>
      <w:r>
        <w:rPr>
          <w:rFonts w:ascii="Arial" w:hAnsi="Arial"/>
          <w:b w:val="0"/>
          <w:i w:val="0"/>
          <w:color w:val="202B33"/>
          <w:sz w:val="21"/>
        </w:rPr>
        <w:t>Each agent sees only relevant approved facts and controlled clinical boilerplate, not raw or unrelated material.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/>
          <w:i w:val="0"/>
          <w:color w:val="202B33"/>
          <w:sz w:val="21"/>
        </w:rPr>
        <w:t xml:space="preserve">Faster, safer retries. </w:t>
      </w:r>
      <w:r>
        <w:rPr>
          <w:rFonts w:ascii="Arial" w:hAnsi="Arial"/>
          <w:b w:val="0"/>
          <w:i w:val="0"/>
          <w:color w:val="202B33"/>
          <w:sz w:val="21"/>
        </w:rPr>
        <w:t>A failed section is redrafted in isolation; accepted sections are reused rather than rewritten.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/>
          <w:i w:val="0"/>
          <w:color w:val="202B33"/>
          <w:sz w:val="21"/>
        </w:rPr>
        <w:t xml:space="preserve">Stable output. </w:t>
      </w:r>
      <w:r>
        <w:rPr>
          <w:rFonts w:ascii="Arial" w:hAnsi="Arial"/>
          <w:b w:val="0"/>
          <w:i w:val="0"/>
          <w:color w:val="202B33"/>
          <w:sz w:val="21"/>
        </w:rPr>
        <w:t>Code, not AI, controls section order, Word styles, tables, fields, headers, footers, XML, and file release.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8E6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B8473D"/>
                <w:sz w:val="21"/>
              </w:rPr>
              <w:t xml:space="preserve">KEY CONTROL  </w:t>
            </w:r>
            <w:r>
              <w:rPr>
                <w:rFonts w:ascii="Arial" w:hAnsi="Arial"/>
                <w:b w:val="0"/>
                <w:i w:val="0"/>
                <w:color w:val="202B33"/>
                <w:sz w:val="21"/>
              </w:rPr>
              <w:t>Subagents may select, adapt, and connect approved boilerplate, but they may not invent study-specific procedures, risks, benefits, safety obligations, or regulatory claims.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A manageable six-module production architecture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Production module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Single responsibility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workflow.py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Only public entrypoint: prepare, approve, validate, and generate.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contracts.py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Branch input requirements and document section contracts.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drafting.py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Subagent assignments, structured section drafts, targeted retries, and deterministic merge.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rendering.py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Protocol and ICF DOCX generation using contracted client templates.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quality.py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Content, cross-document, structure, renderer, visual, evidence, and release gates.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prs_xml.py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Preserved PRS XML mapping and validation behavior.</w:t>
            </w:r>
          </w:p>
        </w:tc>
      </w:tr>
    </w:tbl>
    <w:p>
      <w:pPr>
        <w:pStyle w:val="Heading2"/>
        <w:keepNext/>
      </w:pPr>
      <w:r>
        <w:t>Branch deliverables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Study branch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Required client package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Prospective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Protocol DOCX + ICF DOCX + PRS XML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Ambispective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Protocol DOCX + ICF DOCX + PRS XML</w:t>
            </w:r>
          </w:p>
        </w:tc>
      </w:tr>
      <w:tr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Retrospective</w:t>
            </w:r>
          </w:p>
        </w:tc>
        <w:tc>
          <w:tcPr>
            <w:tcW w:type="dxa" w:w="66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Protocol DOCX</w:t>
            </w:r>
          </w:p>
        </w:tc>
      </w:tr>
    </w:tbl>
    <w:p>
      <w:pPr>
        <w:pStyle w:val="Heading2"/>
        <w:keepNext/>
      </w:pPr>
      <w:r>
        <w:t>Word compatibility without requiring Word on every machine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/>
          <w:i w:val="0"/>
          <w:color w:val="202B33"/>
          <w:sz w:val="21"/>
        </w:rPr>
        <w:t xml:space="preserve">Output standard. </w:t>
      </w:r>
      <w:r>
        <w:rPr>
          <w:rFonts w:ascii="Arial" w:hAnsi="Arial"/>
          <w:b w:val="0"/>
          <w:i w:val="0"/>
          <w:color w:val="202B33"/>
          <w:sz w:val="21"/>
        </w:rPr>
        <w:t>The skill generates standards-compliant DOCX files designed for Microsoft Word.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/>
          <w:i w:val="0"/>
          <w:color w:val="202B33"/>
          <w:sz w:val="21"/>
        </w:rPr>
        <w:t xml:space="preserve">Active renderer. </w:t>
      </w:r>
      <w:r>
        <w:rPr>
          <w:rFonts w:ascii="Arial" w:hAnsi="Arial"/>
          <w:b w:val="0"/>
          <w:i w:val="0"/>
          <w:color w:val="202B33"/>
          <w:sz w:val="21"/>
        </w:rPr>
        <w:t>For visual QA it uses Microsoft Word when available, then LibreOffice, then Apple Pages, and records which renderer produced the evidence.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/>
          <w:i w:val="0"/>
          <w:color w:val="202B33"/>
          <w:sz w:val="21"/>
        </w:rPr>
        <w:t xml:space="preserve">Honest certification. </w:t>
      </w:r>
      <w:r>
        <w:rPr>
          <w:rFonts w:ascii="Arial" w:hAnsi="Arial"/>
          <w:b w:val="0"/>
          <w:i w:val="0"/>
          <w:color w:val="202B33"/>
          <w:sz w:val="21"/>
        </w:rPr>
        <w:t>If no renderer exists, structural checks may run, but the package is not reported as visually passed.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/>
          <w:i w:val="0"/>
          <w:color w:val="202B33"/>
          <w:sz w:val="21"/>
        </w:rPr>
        <w:t xml:space="preserve">Template guarantee. </w:t>
      </w:r>
      <w:r>
        <w:rPr>
          <w:rFonts w:ascii="Arial" w:hAnsi="Arial"/>
          <w:b w:val="0"/>
          <w:i w:val="0"/>
          <w:color w:val="202B33"/>
          <w:sz w:val="21"/>
        </w:rPr>
        <w:t>Only bundled, contracted templates are supported until a new template completes onboarding and acceptance testing.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E6F95"/>
                <w:sz w:val="21"/>
              </w:rPr>
              <w:t xml:space="preserve">PORTABILITY  </w:t>
            </w:r>
            <w:r>
              <w:rPr>
                <w:rFonts w:ascii="Arial" w:hAnsi="Arial"/>
                <w:b w:val="0"/>
                <w:i w:val="0"/>
                <w:color w:val="202B33"/>
                <w:sz w:val="21"/>
              </w:rPr>
              <w:t>The client can open and update the final DOCX in Microsoft Word even when the development machine used LibreOffice or Pages for visual QA.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Release controls and approval criteria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Current risk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New control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before release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Empty or weak sections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Versioned section contract checks evidence and substance, not just non-empty text.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Every required leaf section passes; container headings may group children.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Unsupported clinical details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Agents receive approved facts plus controlled boilerplate; cross-document checks compare shared facts.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No unsupported study-specific claim or contradiction.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Formatting quirks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Word-native styles, fields, tables, headers, footers, and per-page visual inspection.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No clipping, overlap, blank pages, orphan headings, split rows, or style drift.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False-positive delivery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Atomic branch release tied to artifact hashes and renderer evidence.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Every required file passes together; later mutation invalidates certification.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Unmaintainable scripts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One public workflow and six focused production modules.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i w:val="0"/>
                <w:color w:val="202B33"/>
                <w:sz w:val="18"/>
              </w:rPr>
              <w:t>Acceptance tests exercise the full workflow rather than private script chains.</w:t>
            </w:r>
          </w:p>
        </w:tc>
      </w:tr>
    </w:tbl>
    <w:p>
      <w:pPr>
        <w:pStyle w:val="Heading2"/>
        <w:keepNext/>
      </w:pPr>
      <w:r>
        <w:t>Acceptance corpus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 w:val="0"/>
          <w:i w:val="0"/>
          <w:color w:val="202B33"/>
          <w:sz w:val="21"/>
        </w:rPr>
        <w:t>Sparse-complete and rich-complete studies for each of the three branches (at least six canonical studies).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 w:val="0"/>
          <w:i w:val="0"/>
          <w:color w:val="202B33"/>
          <w:sz w:val="21"/>
        </w:rPr>
        <w:t>Current failing Prospective and Ambispective cases converted into regression tests, plus a complete Retrospective end-to-end case.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 w:val="0"/>
          <w:i w:val="0"/>
          <w:color w:val="202B33"/>
          <w:sz w:val="21"/>
        </w:rPr>
        <w:t>Whole-workflow tests using real bundled templates, accepted section drafts, final rendering, quality gates, and atomic handoff.</w:t>
      </w:r>
    </w:p>
    <w:p>
      <w:pPr>
        <w:pStyle w:val="ListBullet"/>
        <w:spacing w:after="100" w:line="259" w:lineRule="auto"/>
        <w:ind w:left="720" w:hanging="360"/>
      </w:pPr>
      <w:r>
        <w:rPr>
          <w:rFonts w:ascii="Arial" w:hAnsi="Arial"/>
          <w:b w:val="0"/>
          <w:i w:val="0"/>
          <w:color w:val="202B33"/>
          <w:sz w:val="21"/>
        </w:rPr>
        <w:t>Golden regression protection for the existing PRS XML output and full-corpus reruns after contract or boilerplate changes.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DF3F0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2E7D5B"/>
                <w:sz w:val="21"/>
              </w:rPr>
              <w:t xml:space="preserve">APPROVAL REQUESTED  </w:t>
            </w:r>
            <w:r>
              <w:rPr>
                <w:rFonts w:ascii="Arial" w:hAnsi="Arial"/>
                <w:b w:val="0"/>
                <w:i w:val="0"/>
                <w:color w:val="202B33"/>
                <w:sz w:val="21"/>
              </w:rPr>
              <w:t>Authorize the clean rebuild and replacement of the current script chain, subject to the six-module boundary, the human Source-of-Truth approval gate, scoped subagent use, three-attempt retry policy, preserved PRS XML behavior, and the release criteria above.</w:t>
            </w:r>
          </w:p>
        </w:tc>
      </w:tr>
    </w:tbl>
    <w:p>
      <w:pPr>
        <w:spacing w:after="0"/>
      </w:pPr>
    </w:p>
    <w:p>
      <w:pPr>
        <w:spacing w:before="160" w:after="0"/>
      </w:pPr>
      <w:r>
        <w:rPr>
          <w:rFonts w:ascii="Arial" w:hAnsi="Arial"/>
          <w:b/>
          <w:i w:val="0"/>
          <w:color w:val="17324D"/>
          <w:sz w:val="21"/>
        </w:rPr>
        <w:t xml:space="preserve">Definition of done: </w:t>
      </w:r>
      <w:r>
        <w:rPr>
          <w:rFonts w:ascii="Arial" w:hAnsi="Arial"/>
          <w:b w:val="0"/>
          <w:i w:val="0"/>
          <w:color w:val="202B33"/>
          <w:sz w:val="21"/>
        </w:rPr>
        <w:t>with all obligatory inputs complete, every required section is substantive, every branch deliverable passes its contract, and the complete package renders cleanly before client release.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75838C"/>
        <w:sz w:val="17"/>
      </w:rPr>
      <w:t xml:space="preserve">Approval brief  |  Page </w:t>
    </w:r>
    <w:r>
      <w:rPr>
        <w:rFonts w:ascii="Arial" w:hAnsi="Arial"/>
        <w:b w:val="0"/>
        <w:i w:val="0"/>
        <w:color w:val="75838C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i w:val="0"/>
        <w:color w:val="75838C"/>
        <w:sz w:val="16"/>
      </w:rPr>
      <w:t>PULPSENSE  |  CLINICAL DOCUMENT GENERATION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6F9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38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Document Generation v2 - Approval Brief</dc:title>
  <dc:subject>Proposed rebuild architecture and approval criteria</dc:subject>
  <dc:creator>PulpSense</dc:creator>
  <cp:keywords>clinical documents, Hermes, DOCX, quality assurance,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