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6"/>
          <w:szCs w:val="36"/>
        </w:rPr>
        <w:t xml:space="preserve">Fiche technique : un automate et un actionneur</w:t>
      </w:r>
    </w:p>
    <w:p>
      <w:pPr>
        <w:spacing w:after="60"/>
      </w:pPr>
      <w:r>
        <w:rPr>
          <w:rFonts w:ascii="Calibri" w:cs="Calibri" w:eastAsia="Calibri" w:hAnsi="Calibri"/>
          <w:color w:val="444444"/>
          <w:sz w:val="22"/>
          <w:szCs w:val="22"/>
        </w:rPr>
        <w:t xml:space="preserve">Application : régulation de tension d’un transformateur HTB/HTA de poste source (63 kV / 20 kV)</w:t>
      </w:r>
    </w:p>
    <w:p>
      <w:pPr>
        <w:spacing w:after="80"/>
      </w:pPr>
      <w:r>
        <w:rPr>
          <w:rFonts w:ascii="Calibri" w:cs="Calibri" w:eastAsia="Calibri" w:hAnsi="Calibri"/>
          <w:sz w:val="20"/>
          <w:szCs w:val="20"/>
        </w:rPr>
        <w:t xml:space="preserve">Nom, prénom, groupe : ____________________          GEII          Date : ____ / ____ / 2026</w:t>
      </w:r>
    </w:p>
    <w:p>
      <w:pPr>
        <w:spacing w:after="80"/>
      </w:pPr>
      <w:r>
        <w:rPr>
          <w:rFonts w:ascii="Calibri" w:cs="Calibri" w:eastAsia="Calibri" w:hAnsi="Calibri"/>
          <w:i/>
          <w:iCs/>
          <w:color w:val="B45F06"/>
          <w:sz w:val="18"/>
          <w:szCs w:val="18"/>
        </w:rPr>
        <w:t xml:space="preserve">Les mentions « (à vérifier) » signalent une valeur à contrôler dans la documentation du fabricant avant de rendre la fiche.</w:t>
      </w:r>
    </w:p>
    <w:p>
      <w:pPr>
        <w:pStyle w:val="Heading1"/>
        <w:pBdr>
          <w:bottom w:val="single" w:color="1F4E79" w:sz="6" w:space="2"/>
        </w:pBdr>
        <w:spacing w:after="80" w:before="200"/>
      </w:pPr>
      <w:r>
        <w:rPr>
          <w:rFonts w:ascii="Calibri" w:cs="Calibri" w:eastAsia="Calibri" w:hAnsi="Calibri"/>
          <w:b/>
          <w:bCs/>
          <w:color w:val="1F4E79"/>
          <w:sz w:val="26"/>
          <w:szCs w:val="26"/>
        </w:rPr>
        <w:t xml:space="preserve">1. Contexte</w:t>
      </w:r>
    </w:p>
    <w:p>
      <w:pPr>
        <w:spacing w:after="80"/>
      </w:pPr>
      <w:r>
        <w:rPr>
          <w:rFonts w:ascii="Calibri" w:cs="Calibri" w:eastAsia="Calibri" w:hAnsi="Calibri"/>
          <w:sz w:val="20"/>
          <w:szCs w:val="20"/>
        </w:rPr>
        <w:t xml:space="preserve">Dans un poste source, la tension du jeu de barres 20 kV varie avec la charge et avec la tension du réseau 63 kV. Un automate mesure cette tension et commande le régleur en charge du transformateur pour la maintenir autour d’une consigne (par exemple 20,5 kV ± 1 %). L’automate est ici un Siemens S7-1200 et l’actionneur est le régleur en charge de Maschinenfabrik Reinhausen (MR), piloté par sa commande moteur TAPMOTION ED.</w:t>
      </w:r>
    </w:p>
    <w:p>
      <w:pPr>
        <w:pStyle w:val="Heading1"/>
        <w:pBdr>
          <w:bottom w:val="single" w:color="1F4E79" w:sz="6" w:space="2"/>
        </w:pBdr>
        <w:spacing w:after="80" w:before="200"/>
      </w:pPr>
      <w:r>
        <w:rPr>
          <w:rFonts w:ascii="Calibri" w:cs="Calibri" w:eastAsia="Calibri" w:hAnsi="Calibri"/>
          <w:b/>
          <w:bCs/>
          <w:color w:val="1F4E79"/>
          <w:sz w:val="26"/>
          <w:szCs w:val="26"/>
        </w:rPr>
        <w:t xml:space="preserve">2. Automate : Siemens SIMATIC S7-1200, CPU 1214C DC/DC/DC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2CC" w:sz="4"/>
              <w:left w:val="single" w:color="B7C2CC" w:sz="4"/>
              <w:bottom w:val="single" w:color="B7C2CC" w:sz="4"/>
              <w:right w:val="single" w:color="B7C2CC" w:sz="4"/>
            </w:tcBorders>
            <w:shd w:fill="1F4E79" w:color="auto" w:val="clear"/>
            <w:tcMar>
              <w:top w:type="dxa" w:w="50"/>
              <w:left w:type="dxa" w:w="100"/>
              <w:bottom w:type="dxa" w:w="50"/>
              <w:right w:type="dxa" w:w="100"/>
            </w:tcMar>
          </w:tcPr>
          <w:p>
            <w:r>
              <w:rPr>
                <w:rFonts w:ascii="Calibri" w:cs="Calibri" w:eastAsia="Calibri" w:hAnsi="Calibri"/>
                <w:b/>
                <w:bCs/>
                <w:color w:val="FFFFFF"/>
                <w:sz w:val="20"/>
                <w:szCs w:val="20"/>
              </w:rPr>
              <w:t xml:space="preserve">Caractéristique</w:t>
            </w:r>
          </w:p>
        </w:tc>
        <w:tc>
          <w:tcPr>
            <w:tcW w:type="dxa" w:w="7038"/>
            <w:tcBorders>
              <w:top w:val="single" w:color="B7C2CC" w:sz="4"/>
              <w:left w:val="single" w:color="B7C2CC" w:sz="4"/>
              <w:bottom w:val="single" w:color="B7C2CC" w:sz="4"/>
              <w:right w:val="single" w:color="B7C2CC" w:sz="4"/>
            </w:tcBorders>
            <w:shd w:fill="1F4E79" w:color="auto" w:val="clear"/>
            <w:tcMar>
              <w:top w:type="dxa" w:w="50"/>
              <w:left w:type="dxa" w:w="100"/>
              <w:bottom w:type="dxa" w:w="50"/>
              <w:right w:type="dxa" w:w="100"/>
            </w:tcMar>
          </w:tcPr>
          <w:p>
            <w:r>
              <w:rPr>
                <w:rFonts w:ascii="Calibri" w:cs="Calibri" w:eastAsia="Calibri" w:hAnsi="Calibri"/>
                <w:b/>
                <w:bCs/>
                <w:color w:val="FFFFFF"/>
                <w:sz w:val="20"/>
                <w:szCs w:val="20"/>
              </w:rPr>
              <w:t xml:space="preserve">Valeur</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Référence</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6ES7214-1AG40-0XB0</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Entrées / sorties intégrées</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14 entrées TOR 24 V CC, 10 sorties TOR 24 V CC, 2 entrées analogiques 0-10 V</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Alimentation</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24 V CC (20,4 à 28,8 V)</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Mémoire de travail</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environ 100 Ko </w:t>
            </w:r>
            <w:r>
              <w:rPr>
                <w:rFonts w:ascii="Calibri" w:cs="Calibri" w:eastAsia="Calibri" w:hAnsi="Calibri"/>
                <w:i/>
                <w:iCs/>
                <w:color w:val="B45F06"/>
                <w:sz w:val="18"/>
                <w:szCs w:val="18"/>
              </w:rPr>
              <w:t xml:space="preserve"> (à vérifier)</w:t>
            </w:r>
            <w:r>
              <w:rPr>
                <w:rFonts w:ascii="Calibri" w:cs="Calibri" w:eastAsia="Calibri" w:hAnsi="Calibri"/>
                <w:sz w:val="20"/>
                <w:szCs w:val="20"/>
              </w:rPr>
              <w:t xml:space="preserve"/>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Extensions</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une carte enfichable (Signal Board), jusqu’à 8 modules d’E/S (SM), jusqu’à 3 modules de communication (CM) </w:t>
            </w:r>
            <w:r>
              <w:rPr>
                <w:rFonts w:ascii="Calibri" w:cs="Calibri" w:eastAsia="Calibri" w:hAnsi="Calibri"/>
                <w:i/>
                <w:iCs/>
                <w:color w:val="B45F06"/>
                <w:sz w:val="18"/>
                <w:szCs w:val="18"/>
              </w:rPr>
              <w:t xml:space="preserve"> (à vérifier)</w:t>
            </w:r>
            <w:r>
              <w:rPr>
                <w:rFonts w:ascii="Calibri" w:cs="Calibri" w:eastAsia="Calibri" w:hAnsi="Calibri"/>
                <w:sz w:val="20"/>
                <w:szCs w:val="20"/>
              </w:rPr>
              <w:t xml:space="preserve"/>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Programmation</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logiciel TIA Portal ; langages LD (Ladder), FBD et SCL</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Rôle dans le projet</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lit la tension du jeu de barres (entrée analogique), applique la logique de régulation, envoie les ordres monter / descendre</w:t>
            </w:r>
          </w:p>
        </w:tc>
      </w:tr>
    </w:tbl>
    <w:p>
      <w:pPr>
        <w:spacing w:after="60"/>
      </w:pPr>
    </w:p>
    <w:p>
      <w:pPr>
        <w:spacing w:after="60"/>
      </w:pPr>
      <w:r>
        <w:rPr>
          <w:rFonts w:ascii="Calibri" w:cs="Calibri" w:eastAsia="Calibri" w:hAnsi="Calibri"/>
          <w:b/>
          <w:bCs/>
          <w:sz w:val="22"/>
          <w:szCs w:val="22"/>
        </w:rPr>
        <w:t xml:space="preserve">Protocoles industriels</w:t>
      </w:r>
    </w:p>
    <w:p>
      <w:pPr>
        <w:pStyle w:val="ListParagraph"/>
        <w:numPr>
          <w:ilvl w:val="0"/>
          <w:numId w:val="2"/>
        </w:numPr>
        <w:spacing w:after="40"/>
      </w:pPr>
      <w:r>
        <w:rPr>
          <w:rFonts w:ascii="Calibri" w:cs="Calibri" w:eastAsia="Calibri" w:hAnsi="Calibri"/>
          <w:sz w:val="20"/>
          <w:szCs w:val="20"/>
        </w:rPr>
        <w:t xml:space="preserve">PROFINET : port Ethernet intégré, sert à la programmation et à la communication avec d’autres automates et des périphériques.</w:t>
      </w:r>
    </w:p>
    <w:p>
      <w:pPr>
        <w:pStyle w:val="ListParagraph"/>
        <w:numPr>
          <w:ilvl w:val="0"/>
          <w:numId w:val="2"/>
        </w:numPr>
        <w:spacing w:after="40"/>
      </w:pPr>
      <w:r>
        <w:rPr>
          <w:rFonts w:ascii="Calibri" w:cs="Calibri" w:eastAsia="Calibri" w:hAnsi="Calibri"/>
          <w:sz w:val="20"/>
          <w:szCs w:val="20"/>
        </w:rPr>
        <w:t xml:space="preserve">Modbus TCP : disponible par les instructions MB_CLIENT et MB_SERVER du programme (pas de module supplémentaire).</w:t>
      </w:r>
    </w:p>
    <w:p>
      <w:pPr>
        <w:pStyle w:val="ListParagraph"/>
        <w:numPr>
          <w:ilvl w:val="0"/>
          <w:numId w:val="2"/>
        </w:numPr>
        <w:spacing w:after="40"/>
      </w:pPr>
      <w:r>
        <w:rPr>
          <w:rFonts w:ascii="Calibri" w:cs="Calibri" w:eastAsia="Calibri" w:hAnsi="Calibri"/>
          <w:sz w:val="20"/>
          <w:szCs w:val="20"/>
        </w:rPr>
        <w:t xml:space="preserve">Modbus RTU : sur liaison RS-485, avec un module de communication CM 1241 RS422/485 </w:t>
      </w:r>
      <w:r>
        <w:rPr>
          <w:rFonts w:ascii="Calibri" w:cs="Calibri" w:eastAsia="Calibri" w:hAnsi="Calibri"/>
          <w:i/>
          <w:iCs/>
          <w:color w:val="B45F06"/>
          <w:sz w:val="18"/>
          <w:szCs w:val="18"/>
        </w:rPr>
        <w:t xml:space="preserve"> (à vérifier)</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CEI 61850, CEI 60870-5-104 et DNP3 : non gérés en natif ; il faut une passerelle ou un équipement dédié </w:t>
      </w:r>
      <w:r>
        <w:rPr>
          <w:rFonts w:ascii="Calibri" w:cs="Calibri" w:eastAsia="Calibri" w:hAnsi="Calibri"/>
          <w:i/>
          <w:iCs/>
          <w:color w:val="B45F06"/>
          <w:sz w:val="18"/>
          <w:szCs w:val="18"/>
        </w:rPr>
        <w:t xml:space="preserve"> (à vérifier)</w:t>
      </w:r>
      <w:r>
        <w:rPr>
          <w:rFonts w:ascii="Calibri" w:cs="Calibri" w:eastAsia="Calibri" w:hAnsi="Calibri"/>
          <w:sz w:val="20"/>
          <w:szCs w:val="20"/>
        </w:rPr>
        <w:t xml:space="preserve">.</w:t>
      </w:r>
    </w:p>
    <w:p>
      <w:pPr>
        <w:pStyle w:val="Heading1"/>
        <w:pBdr>
          <w:bottom w:val="single" w:color="1F4E79" w:sz="6" w:space="2"/>
        </w:pBdr>
        <w:spacing w:after="80" w:before="200"/>
      </w:pPr>
      <w:r>
        <w:rPr>
          <w:rFonts w:ascii="Calibri" w:cs="Calibri" w:eastAsia="Calibri" w:hAnsi="Calibri"/>
          <w:b/>
          <w:bCs/>
          <w:color w:val="1F4E79"/>
          <w:sz w:val="26"/>
          <w:szCs w:val="26"/>
        </w:rPr>
        <w:t xml:space="preserve">3. Actionneur : régleur en charge MR et commande moteur TAPMOTION 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2CC" w:sz="4"/>
              <w:left w:val="single" w:color="B7C2CC" w:sz="4"/>
              <w:bottom w:val="single" w:color="B7C2CC" w:sz="4"/>
              <w:right w:val="single" w:color="B7C2CC" w:sz="4"/>
            </w:tcBorders>
            <w:shd w:fill="1F4E79" w:color="auto" w:val="clear"/>
            <w:tcMar>
              <w:top w:type="dxa" w:w="50"/>
              <w:left w:type="dxa" w:w="100"/>
              <w:bottom w:type="dxa" w:w="50"/>
              <w:right w:type="dxa" w:w="100"/>
            </w:tcMar>
          </w:tcPr>
          <w:p>
            <w:r>
              <w:rPr>
                <w:rFonts w:ascii="Calibri" w:cs="Calibri" w:eastAsia="Calibri" w:hAnsi="Calibri"/>
                <w:b/>
                <w:bCs/>
                <w:color w:val="FFFFFF"/>
                <w:sz w:val="20"/>
                <w:szCs w:val="20"/>
              </w:rPr>
              <w:t xml:space="preserve">Caractéristique</w:t>
            </w:r>
          </w:p>
        </w:tc>
        <w:tc>
          <w:tcPr>
            <w:tcW w:type="dxa" w:w="7038"/>
            <w:tcBorders>
              <w:top w:val="single" w:color="B7C2CC" w:sz="4"/>
              <w:left w:val="single" w:color="B7C2CC" w:sz="4"/>
              <w:bottom w:val="single" w:color="B7C2CC" w:sz="4"/>
              <w:right w:val="single" w:color="B7C2CC" w:sz="4"/>
            </w:tcBorders>
            <w:shd w:fill="1F4E79" w:color="auto" w:val="clear"/>
            <w:tcMar>
              <w:top w:type="dxa" w:w="50"/>
              <w:left w:type="dxa" w:w="100"/>
              <w:bottom w:type="dxa" w:w="50"/>
              <w:right w:type="dxa" w:w="100"/>
            </w:tcMar>
          </w:tcPr>
          <w:p>
            <w:r>
              <w:rPr>
                <w:rFonts w:ascii="Calibri" w:cs="Calibri" w:eastAsia="Calibri" w:hAnsi="Calibri"/>
                <w:b/>
                <w:bCs/>
                <w:color w:val="FFFFFF"/>
                <w:sz w:val="20"/>
                <w:szCs w:val="20"/>
              </w:rPr>
              <w:t xml:space="preserve">Valeur</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Fabricant</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Maschinenfabrik Reinhausen (MR), Allemagne</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Rôle</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La commande moteur TAPMOTION ED entraîne le régleur en charge (gammes OILTAP et VACUTAP de MR). Un pas de prise change le rapport de transformation, donc la tension du secondaire.</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Puissance du moteur</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de 0,75 kW à 2,2 kW selon la variante (ED 100 / ED 200) </w:t>
            </w:r>
            <w:r>
              <w:rPr>
                <w:rFonts w:ascii="Calibri" w:cs="Calibri" w:eastAsia="Calibri" w:hAnsi="Calibri"/>
                <w:i/>
                <w:iCs/>
                <w:color w:val="B45F06"/>
                <w:sz w:val="18"/>
                <w:szCs w:val="18"/>
              </w:rPr>
              <w:t xml:space="preserve"> (à vérifier)</w:t>
            </w:r>
            <w:r>
              <w:rPr>
                <w:rFonts w:ascii="Calibri" w:cs="Calibri" w:eastAsia="Calibri" w:hAnsi="Calibri"/>
                <w:sz w:val="20"/>
                <w:szCs w:val="20"/>
              </w:rPr>
              <w:t xml:space="preserve"/>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Ordres reçus</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monter, descendre (contacts TOR)</w:t>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Informations renvoyées</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position de la prise, manœuvre en cours, fin de course haute / basse, défaut moteur </w:t>
            </w:r>
            <w:r>
              <w:rPr>
                <w:rFonts w:ascii="Calibri" w:cs="Calibri" w:eastAsia="Calibri" w:hAnsi="Calibri"/>
                <w:i/>
                <w:iCs/>
                <w:color w:val="B45F06"/>
                <w:sz w:val="18"/>
                <w:szCs w:val="18"/>
              </w:rPr>
              <w:t xml:space="preserve"> (à vérifier)</w:t>
            </w:r>
            <w:r>
              <w:rPr>
                <w:rFonts w:ascii="Calibri" w:cs="Calibri" w:eastAsia="Calibri" w:hAnsi="Calibri"/>
                <w:sz w:val="20"/>
                <w:szCs w:val="20"/>
              </w:rPr>
              <w:t xml:space="preserve"/>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Valeurs typiques d’un régleur de 63/20 kV</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environ 17 positions, pas d’environ 1,25 %, manœuvre d’environ 5 s </w:t>
            </w:r>
            <w:r>
              <w:rPr>
                <w:rFonts w:ascii="Calibri" w:cs="Calibri" w:eastAsia="Calibri" w:hAnsi="Calibri"/>
                <w:i/>
                <w:iCs/>
                <w:color w:val="B45F06"/>
                <w:sz w:val="18"/>
                <w:szCs w:val="18"/>
              </w:rPr>
              <w:t xml:space="preserve"> (à vérifier)</w:t>
            </w:r>
            <w:r>
              <w:rPr>
                <w:rFonts w:ascii="Calibri" w:cs="Calibri" w:eastAsia="Calibri" w:hAnsi="Calibri"/>
                <w:sz w:val="20"/>
                <w:szCs w:val="20"/>
              </w:rPr>
              <w:t xml:space="preserve"/>
            </w:r>
          </w:p>
        </w:tc>
      </w:tr>
      <w:tr>
        <w:tc>
          <w:tcPr>
            <w:tcW w:type="dxa" w:w="26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Liaison avec l’automate</w:t>
            </w:r>
          </w:p>
        </w:tc>
        <w:tc>
          <w:tcPr>
            <w:tcW w:type="dxa" w:w="70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câblée : sorties TOR de l’automate vers les ordres monter / descendre ; retours en TOR ou en signal analogique</w:t>
            </w:r>
          </w:p>
        </w:tc>
      </w:tr>
    </w:tbl>
    <w:p>
      <w:pPr>
        <w:spacing w:after="60"/>
      </w:pPr>
    </w:p>
    <w:p>
      <w:pPr>
        <w:spacing w:after="80"/>
      </w:pPr>
      <w:r>
        <w:rPr>
          <w:rFonts w:ascii="Calibri" w:cs="Calibri" w:eastAsia="Calibri" w:hAnsi="Calibri"/>
          <w:sz w:val="20"/>
          <w:szCs w:val="20"/>
        </w:rPr>
        <w:t xml:space="preserve">Le régleur en charge change de prise sans couper le courant. La tension du secondaire varie d’environ 1,25 % par prise ; l’automate ne peut jamais dépasser les prises extrêmes (butées).</w:t>
      </w:r>
    </w:p>
    <w:p>
      <w:pPr>
        <w:pStyle w:val="Heading1"/>
        <w:pBdr>
          <w:bottom w:val="single" w:color="1F4E79" w:sz="6" w:space="2"/>
        </w:pBdr>
        <w:spacing w:after="80" w:before="200"/>
      </w:pPr>
      <w:r>
        <w:rPr>
          <w:rFonts w:ascii="Calibri" w:cs="Calibri" w:eastAsia="Calibri" w:hAnsi="Calibri"/>
          <w:b/>
          <w:bCs/>
          <w:color w:val="1F4E79"/>
          <w:sz w:val="26"/>
          <w:szCs w:val="26"/>
        </w:rPr>
        <w:t xml:space="preserve">4. Échanges entre l’automate et l’actionneur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938"/>
      </w:tblGrid>
      <w:tr>
        <w:trPr>
          <w:tblHeader/>
        </w:trPr>
        <w:tc>
          <w:tcPr>
            <w:tcW w:type="dxa" w:w="3000"/>
            <w:tcBorders>
              <w:top w:val="single" w:color="B7C2CC" w:sz="4"/>
              <w:left w:val="single" w:color="B7C2CC" w:sz="4"/>
              <w:bottom w:val="single" w:color="B7C2CC" w:sz="4"/>
              <w:right w:val="single" w:color="B7C2CC" w:sz="4"/>
            </w:tcBorders>
            <w:shd w:fill="1F4E79" w:color="auto" w:val="clear"/>
            <w:tcMar>
              <w:top w:type="dxa" w:w="50"/>
              <w:left w:type="dxa" w:w="100"/>
              <w:bottom w:type="dxa" w:w="50"/>
              <w:right w:type="dxa" w:w="100"/>
            </w:tcMar>
          </w:tcPr>
          <w:p>
            <w:r>
              <w:rPr>
                <w:rFonts w:ascii="Calibri" w:cs="Calibri" w:eastAsia="Calibri" w:hAnsi="Calibri"/>
                <w:b/>
                <w:bCs/>
                <w:color w:val="FFFFFF"/>
                <w:sz w:val="20"/>
                <w:szCs w:val="20"/>
              </w:rPr>
              <w:t xml:space="preserve">Signal</w:t>
            </w:r>
          </w:p>
        </w:tc>
        <w:tc>
          <w:tcPr>
            <w:tcW w:type="dxa" w:w="1700"/>
            <w:tcBorders>
              <w:top w:val="single" w:color="B7C2CC" w:sz="4"/>
              <w:left w:val="single" w:color="B7C2CC" w:sz="4"/>
              <w:bottom w:val="single" w:color="B7C2CC" w:sz="4"/>
              <w:right w:val="single" w:color="B7C2CC" w:sz="4"/>
            </w:tcBorders>
            <w:shd w:fill="1F4E79" w:color="auto" w:val="clear"/>
            <w:tcMar>
              <w:top w:type="dxa" w:w="50"/>
              <w:left w:type="dxa" w:w="100"/>
              <w:bottom w:type="dxa" w:w="50"/>
              <w:right w:type="dxa" w:w="100"/>
            </w:tcMar>
          </w:tcPr>
          <w:p>
            <w:r>
              <w:rPr>
                <w:rFonts w:ascii="Calibri" w:cs="Calibri" w:eastAsia="Calibri" w:hAnsi="Calibri"/>
                <w:b/>
                <w:bCs/>
                <w:color w:val="FFFFFF"/>
                <w:sz w:val="20"/>
                <w:szCs w:val="20"/>
              </w:rPr>
              <w:t xml:space="preserve">Sens</w:t>
            </w:r>
          </w:p>
        </w:tc>
        <w:tc>
          <w:tcPr>
            <w:tcW w:type="dxa" w:w="4938"/>
            <w:tcBorders>
              <w:top w:val="single" w:color="B7C2CC" w:sz="4"/>
              <w:left w:val="single" w:color="B7C2CC" w:sz="4"/>
              <w:bottom w:val="single" w:color="B7C2CC" w:sz="4"/>
              <w:right w:val="single" w:color="B7C2CC" w:sz="4"/>
            </w:tcBorders>
            <w:shd w:fill="1F4E79" w:color="auto" w:val="clear"/>
            <w:tcMar>
              <w:top w:type="dxa" w:w="50"/>
              <w:left w:type="dxa" w:w="100"/>
              <w:bottom w:type="dxa" w:w="50"/>
              <w:right w:type="dxa" w:w="100"/>
            </w:tcMar>
          </w:tcPr>
          <w:p>
            <w:r>
              <w:rPr>
                <w:rFonts w:ascii="Calibri" w:cs="Calibri" w:eastAsia="Calibri" w:hAnsi="Calibri"/>
                <w:b/>
                <w:bCs/>
                <w:color w:val="FFFFFF"/>
                <w:sz w:val="20"/>
                <w:szCs w:val="20"/>
              </w:rPr>
              <w:t xml:space="preserve">Correspondance dans mon projet de simulation</w:t>
            </w:r>
          </w:p>
        </w:tc>
      </w:tr>
      <w:tr>
        <w:tc>
          <w:tcPr>
            <w:tcW w:type="dxa" w:w="30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Tension du jeu de barres</w:t>
            </w:r>
          </w:p>
        </w:tc>
        <w:tc>
          <w:tcPr>
            <w:tcW w:type="dxa" w:w="1700"/>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mesure vers automate</w:t>
            </w:r>
          </w:p>
        </w:tc>
        <w:tc>
          <w:tcPr>
            <w:tcW w:type="dxa" w:w="49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registre Modbus HR_U_HTA (kV × 100)</w:t>
            </w:r>
          </w:p>
        </w:tc>
      </w:tr>
      <w:tr>
        <w:tc>
          <w:tcPr>
            <w:tcW w:type="dxa" w:w="30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Ordre monter / descendre</w:t>
            </w:r>
          </w:p>
        </w:tc>
        <w:tc>
          <w:tcPr>
            <w:tcW w:type="dxa" w:w="1700"/>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automate vers régleur</w:t>
            </w:r>
          </w:p>
        </w:tc>
        <w:tc>
          <w:tcPr>
            <w:tcW w:type="dxa" w:w="49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coils CO_ORDRE_MONTER et CO_ORDRE_DESCENDRE</w:t>
            </w:r>
          </w:p>
        </w:tc>
      </w:tr>
      <w:tr>
        <w:tc>
          <w:tcPr>
            <w:tcW w:type="dxa" w:w="30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Manœuvre en cours</w:t>
            </w:r>
          </w:p>
        </w:tc>
        <w:tc>
          <w:tcPr>
            <w:tcW w:type="dxa" w:w="1700"/>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régleur vers automate</w:t>
            </w:r>
          </w:p>
        </w:tc>
        <w:tc>
          <w:tcPr>
            <w:tcW w:type="dxa" w:w="49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coil CO_MANOEUVRE_EN_COURS</w:t>
            </w:r>
          </w:p>
        </w:tc>
      </w:tr>
      <w:tr>
        <w:tc>
          <w:tcPr>
            <w:tcW w:type="dxa" w:w="30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Position de la prise (1 à 17)</w:t>
            </w:r>
          </w:p>
        </w:tc>
        <w:tc>
          <w:tcPr>
            <w:tcW w:type="dxa" w:w="1700"/>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régleur vers automate</w:t>
            </w:r>
          </w:p>
        </w:tc>
        <w:tc>
          <w:tcPr>
            <w:tcW w:type="dxa" w:w="49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registre HR_PRISE</w:t>
            </w:r>
          </w:p>
        </w:tc>
      </w:tr>
      <w:tr>
        <w:tc>
          <w:tcPr>
            <w:tcW w:type="dxa" w:w="3000"/>
            <w:tcBorders>
              <w:top w:val="single" w:color="B7C2CC" w:sz="4"/>
              <w:left w:val="single" w:color="B7C2CC" w:sz="4"/>
              <w:bottom w:val="single" w:color="B7C2CC" w:sz="4"/>
              <w:right w:val="single" w:color="B7C2CC" w:sz="4"/>
            </w:tcBorders>
            <w:shd w:fill="E9EEF3" w:color="auto" w:val="clear"/>
            <w:tcMar>
              <w:top w:type="dxa" w:w="50"/>
              <w:left w:type="dxa" w:w="100"/>
              <w:bottom w:type="dxa" w:w="50"/>
              <w:right w:type="dxa" w:w="100"/>
            </w:tcMar>
          </w:tcPr>
          <w:p>
            <w:r>
              <w:rPr>
                <w:rFonts w:ascii="Calibri" w:cs="Calibri" w:eastAsia="Calibri" w:hAnsi="Calibri"/>
                <w:b/>
                <w:bCs/>
                <w:sz w:val="20"/>
                <w:szCs w:val="20"/>
              </w:rPr>
              <w:t xml:space="preserve">Défaut régleur</w:t>
            </w:r>
          </w:p>
        </w:tc>
        <w:tc>
          <w:tcPr>
            <w:tcW w:type="dxa" w:w="1700"/>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calculé par l’automate</w:t>
            </w:r>
          </w:p>
        </w:tc>
        <w:tc>
          <w:tcPr>
            <w:tcW w:type="dxa" w:w="4938"/>
            <w:tcBorders>
              <w:top w:val="single" w:color="B7C2CC" w:sz="4"/>
              <w:left w:val="single" w:color="B7C2CC" w:sz="4"/>
              <w:bottom w:val="single" w:color="B7C2CC" w:sz="4"/>
              <w:right w:val="single" w:color="B7C2CC" w:sz="4"/>
            </w:tcBorders>
            <w:tcMar>
              <w:top w:type="dxa" w:w="50"/>
              <w:left w:type="dxa" w:w="100"/>
              <w:bottom w:type="dxa" w:w="50"/>
              <w:right w:type="dxa" w:w="100"/>
            </w:tcMar>
          </w:tcPr>
          <w:p>
            <w:r>
              <w:rPr>
                <w:rFonts w:ascii="Calibri" w:cs="Calibri" w:eastAsia="Calibri" w:hAnsi="Calibri"/>
                <w:sz w:val="20"/>
                <w:szCs w:val="20"/>
              </w:rPr>
              <w:t xml:space="preserve">coil CO_DEFAUT_REGLEUR (manœuvre de plus de 10 s)</w:t>
            </w:r>
          </w:p>
        </w:tc>
      </w:tr>
    </w:tbl>
    <w:p>
      <w:pPr>
        <w:spacing w:after="60"/>
      </w:pPr>
    </w:p>
    <w:p>
      <w:pPr>
        <w:spacing w:after="80"/>
      </w:pPr>
      <w:r>
        <w:rPr>
          <w:rFonts w:ascii="Calibri" w:cs="Calibri" w:eastAsia="Calibri" w:hAnsi="Calibri"/>
          <w:sz w:val="20"/>
          <w:szCs w:val="20"/>
        </w:rPr>
        <w:t xml:space="preserve">Dans mon projet, les échanges sont simulés en Modbus TCP entre trois programmes (automate, simulation du poste, IHM Node-RED). Sur une installation réelle, les ordres et les retours du régleur sont câblés, et l’automate communique avec la supervision par un protocole de communication.</w:t>
      </w:r>
    </w:p>
    <w:p>
      <w:pPr>
        <w:pStyle w:val="Heading1"/>
        <w:pBdr>
          <w:bottom w:val="single" w:color="1F4E79" w:sz="6" w:space="2"/>
        </w:pBdr>
        <w:spacing w:after="80" w:before="200"/>
      </w:pPr>
      <w:r>
        <w:rPr>
          <w:rFonts w:ascii="Calibri" w:cs="Calibri" w:eastAsia="Calibri" w:hAnsi="Calibri"/>
          <w:b/>
          <w:bCs/>
          <w:color w:val="1F4E79"/>
          <w:sz w:val="26"/>
          <w:szCs w:val="26"/>
        </w:rPr>
        <w:t xml:space="preserve">5. Protocoles dans un poste source : Modbus ou CEI 61850 ?</w:t>
      </w:r>
    </w:p>
    <w:p>
      <w:pPr>
        <w:pStyle w:val="ListParagraph"/>
        <w:numPr>
          <w:ilvl w:val="0"/>
          <w:numId w:val="2"/>
        </w:numPr>
        <w:spacing w:after="40"/>
      </w:pPr>
      <w:r>
        <w:rPr>
          <w:rFonts w:ascii="Calibri" w:cs="Calibri" w:eastAsia="Calibri" w:hAnsi="Calibri"/>
          <w:sz w:val="20"/>
          <w:szCs w:val="20"/>
        </w:rPr>
        <w:t xml:space="preserve">Modbus : simple table de registres et de bits, très répandue et facile à mettre en œuvre (mon projet l’utilise), mais sans modèle de données commun aux fabricants ni messages rapides entre équipements.</w:t>
      </w:r>
    </w:p>
    <w:p>
      <w:pPr>
        <w:pStyle w:val="ListParagraph"/>
        <w:numPr>
          <w:ilvl w:val="0"/>
          <w:numId w:val="2"/>
        </w:numPr>
        <w:spacing w:after="40"/>
      </w:pPr>
      <w:r>
        <w:rPr>
          <w:rFonts w:ascii="Calibri" w:cs="Calibri" w:eastAsia="Calibri" w:hAnsi="Calibri"/>
          <w:sz w:val="20"/>
          <w:szCs w:val="20"/>
        </w:rPr>
        <w:t xml:space="preserve">CEI 61850 : norme de communication des postes électriques. Elle définit un modèle de données standard qui permet à des équipements de fabricants différents de dialoguer. Le service MMS assure le dialogue avec la supervision (mesures, états, commandes). Les messages GOOSE assurent des échanges rapides, de l’ordre de quelques millisecondes, entre équipements (par exemple verrouillages et déclenchements).</w:t>
      </w:r>
    </w:p>
    <w:p>
      <w:pPr>
        <w:pStyle w:val="ListParagraph"/>
        <w:numPr>
          <w:ilvl w:val="0"/>
          <w:numId w:val="2"/>
        </w:numPr>
        <w:spacing w:after="40"/>
      </w:pPr>
      <w:r>
        <w:rPr>
          <w:rFonts w:ascii="Calibri" w:cs="Calibri" w:eastAsia="Calibri" w:hAnsi="Calibri"/>
          <w:sz w:val="20"/>
          <w:szCs w:val="20"/>
        </w:rPr>
        <w:t xml:space="preserve">Un régulateur de tension dédié comme le TAPCON de MR gère la CEI 61850 et Modbus </w:t>
      </w:r>
      <w:r>
        <w:rPr>
          <w:rFonts w:ascii="Calibri" w:cs="Calibri" w:eastAsia="Calibri" w:hAnsi="Calibri"/>
          <w:i/>
          <w:iCs/>
          <w:color w:val="B45F06"/>
          <w:sz w:val="18"/>
          <w:szCs w:val="18"/>
        </w:rPr>
        <w:t xml:space="preserve"> (à vérifier)</w:t>
      </w:r>
      <w:r>
        <w:rPr>
          <w:rFonts w:ascii="Calibri" w:cs="Calibri" w:eastAsia="Calibri" w:hAnsi="Calibri"/>
          <w:sz w:val="20"/>
          <w:szCs w:val="20"/>
        </w:rPr>
        <w:t xml:space="preserve">. Le régulateur dédié est ce qu’on trouve le plus souvent dans un poste réel ; l’automate S7-1200 est présenté ici comme automate programmable générique.</w:t>
      </w:r>
    </w:p>
    <w:p>
      <w:pPr>
        <w:pStyle w:val="Heading1"/>
        <w:pBdr>
          <w:bottom w:val="single" w:color="1F4E79" w:sz="6" w:space="2"/>
        </w:pBdr>
        <w:spacing w:after="80" w:before="200"/>
      </w:pPr>
      <w:r>
        <w:rPr>
          <w:rFonts w:ascii="Calibri" w:cs="Calibri" w:eastAsia="Calibri" w:hAnsi="Calibri"/>
          <w:b/>
          <w:bCs/>
          <w:color w:val="1F4E79"/>
          <w:sz w:val="26"/>
          <w:szCs w:val="26"/>
        </w:rPr>
        <w:t xml:space="preserve">6. Références</w:t>
      </w:r>
    </w:p>
    <w:p>
      <w:pPr>
        <w:pStyle w:val="ListParagraph"/>
        <w:numPr>
          <w:ilvl w:val="0"/>
          <w:numId w:val="2"/>
        </w:numPr>
        <w:spacing w:after="40"/>
      </w:pPr>
      <w:hyperlink w:history="1" r:id="rId7f5yl4yrgmbcb3ryjcjoz">
        <w:r>
          <w:rPr>
            <w:rStyle w:val="Hyperlink"/>
            <w:rFonts w:ascii="Calibri" w:cs="Calibri" w:eastAsia="Calibri" w:hAnsi="Calibri"/>
            <w:color w:val="0563C1"/>
            <w:sz w:val="18"/>
            <w:szCs w:val="18"/>
            <w:u w:val="single"/>
          </w:rPr>
          <w:t xml:space="preserve">Siemens : fiche technique de la CPU 1214C DC/DC/DC, 6ES7214-1AG40-0XB0</w:t>
        </w:r>
      </w:hyperlink>
    </w:p>
    <w:p>
      <w:pPr>
        <w:pStyle w:val="ListParagraph"/>
        <w:numPr>
          <w:ilvl w:val="0"/>
          <w:numId w:val="2"/>
        </w:numPr>
        <w:spacing w:after="40"/>
      </w:pPr>
      <w:hyperlink w:history="1" r:id="rIdk34xndsdbhyemzf5lvgen">
        <w:r>
          <w:rPr>
            <w:rStyle w:val="Hyperlink"/>
            <w:rFonts w:ascii="Calibri" w:cs="Calibri" w:eastAsia="Calibri" w:hAnsi="Calibri"/>
            <w:color w:val="0563C1"/>
            <w:sz w:val="18"/>
            <w:szCs w:val="18"/>
            <w:u w:val="single"/>
          </w:rPr>
          <w:t xml:space="preserve">Siemens : page produit 6ES7214-1AG40-0XB0 (SiePortal)</w:t>
        </w:r>
      </w:hyperlink>
    </w:p>
    <w:p>
      <w:pPr>
        <w:pStyle w:val="ListParagraph"/>
        <w:numPr>
          <w:ilvl w:val="0"/>
          <w:numId w:val="2"/>
        </w:numPr>
        <w:spacing w:after="40"/>
      </w:pPr>
      <w:hyperlink w:history="1" r:id="rIdsoynuiz7hvjgizuedpwux">
        <w:r>
          <w:rPr>
            <w:rStyle w:val="Hyperlink"/>
            <w:rFonts w:ascii="Calibri" w:cs="Calibri" w:eastAsia="Calibri" w:hAnsi="Calibri"/>
            <w:color w:val="0563C1"/>
            <w:sz w:val="18"/>
            <w:szCs w:val="18"/>
            <w:u w:val="single"/>
          </w:rPr>
          <w:t xml:space="preserve">Siemens : manuels S7-1200, spécifications techniques de la CPU 1214C</w:t>
        </w:r>
      </w:hyperlink>
    </w:p>
    <w:p>
      <w:pPr>
        <w:pStyle w:val="ListParagraph"/>
        <w:numPr>
          <w:ilvl w:val="0"/>
          <w:numId w:val="2"/>
        </w:numPr>
        <w:spacing w:after="40"/>
      </w:pPr>
      <w:hyperlink w:history="1" r:id="rIdbrdyp8f2j43t2hnvx_oeh">
        <w:r>
          <w:rPr>
            <w:rStyle w:val="Hyperlink"/>
            <w:rFonts w:ascii="Calibri" w:cs="Calibri" w:eastAsia="Calibri" w:hAnsi="Calibri"/>
            <w:color w:val="0563C1"/>
            <w:sz w:val="18"/>
            <w:szCs w:val="18"/>
            <w:u w:val="single"/>
          </w:rPr>
          <w:t xml:space="preserve">MR : commande moteur TAPMOTION ED, page produit</w:t>
        </w:r>
      </w:hyperlink>
    </w:p>
    <w:p>
      <w:pPr>
        <w:pStyle w:val="ListParagraph"/>
        <w:numPr>
          <w:ilvl w:val="0"/>
          <w:numId w:val="2"/>
        </w:numPr>
        <w:spacing w:after="40"/>
      </w:pPr>
      <w:hyperlink w:history="1" r:id="rIdymrew_sysvkp6gukq7icj">
        <w:r>
          <w:rPr>
            <w:rStyle w:val="Hyperlink"/>
            <w:rFonts w:ascii="Calibri" w:cs="Calibri" w:eastAsia="Calibri" w:hAnsi="Calibri"/>
            <w:color w:val="0563C1"/>
            <w:sz w:val="18"/>
            <w:szCs w:val="18"/>
            <w:u w:val="single"/>
          </w:rPr>
          <w:t xml:space="preserve">MR : TAPMOTION ED, données techniques (TD 292)</w:t>
        </w:r>
      </w:hyperlink>
    </w:p>
    <w:p>
      <w:pPr>
        <w:pStyle w:val="ListParagraph"/>
        <w:numPr>
          <w:ilvl w:val="0"/>
          <w:numId w:val="2"/>
        </w:numPr>
        <w:spacing w:after="40"/>
      </w:pPr>
      <w:hyperlink w:history="1" r:id="rIdimv3lzkkd7sdfpm21r927">
        <w:r>
          <w:rPr>
            <w:rStyle w:val="Hyperlink"/>
            <w:rFonts w:ascii="Calibri" w:cs="Calibri" w:eastAsia="Calibri" w:hAnsi="Calibri"/>
            <w:color w:val="0563C1"/>
            <w:sz w:val="18"/>
            <w:szCs w:val="18"/>
            <w:u w:val="single"/>
          </w:rPr>
          <w:t xml:space="preserve">MR : TAPMOTION ED, notice d’utilisation</w:t>
        </w:r>
      </w:hyperlink>
    </w:p>
    <w:p>
      <w:pPr>
        <w:pStyle w:val="ListParagraph"/>
        <w:numPr>
          <w:ilvl w:val="0"/>
          <w:numId w:val="2"/>
        </w:numPr>
        <w:spacing w:after="40"/>
      </w:pPr>
      <w:hyperlink w:history="1" r:id="rIdborycu4lvkeo6xzoh5cq9">
        <w:r>
          <w:rPr>
            <w:rStyle w:val="Hyperlink"/>
            <w:rFonts w:ascii="Calibri" w:cs="Calibri" w:eastAsia="Calibri" w:hAnsi="Calibri"/>
            <w:color w:val="0563C1"/>
            <w:sz w:val="18"/>
            <w:szCs w:val="18"/>
            <w:u w:val="single"/>
          </w:rPr>
          <w:t xml:space="preserve">MR : régulateur de tension TAPCON 230, supplément CEI 61850</w:t>
        </w:r>
      </w:hyperlink>
    </w:p>
    <w:sectPr>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f5yl4yrgmbcb3ryjcjoz" Type="http://schemas.openxmlformats.org/officeDocument/2006/relationships/hyperlink" Target="https://support.industry.siemens.com/teddatasheet/?format=pdf&amp;mlfbs=6ES7214-1AG40-0XB0&amp;language=en&amp;caller=SIOS" TargetMode="External"/><Relationship Id="rIdk34xndsdbhyemzf5lvgen" Type="http://schemas.openxmlformats.org/officeDocument/2006/relationships/hyperlink" Target="https://sieportal.siemens.com/en-ww/products-services/detail/6ES7214-1AG40-0XB0" TargetMode="External"/><Relationship Id="rIdsoynuiz7hvjgizuedpwux" Type="http://schemas.openxmlformats.org/officeDocument/2006/relationships/hyperlink" Target="https://docs.tia.siemens.cloud/r/simatic_s7_1200_manual_collection_enus_20/technical-specifications/cpu-1214c" TargetMode="External"/><Relationship Id="rIdbrdyp8f2j43t2hnvx_oeh" Type="http://schemas.openxmlformats.org/officeDocument/2006/relationships/hyperlink" Target="https://www.reinhausen.com/productdetail/on-load-tap-changers/tapmotion-ed" TargetMode="External"/><Relationship Id="rIdymrew_sysvkp6gukq7icj" Type="http://schemas.openxmlformats.org/officeDocument/2006/relationships/hyperlink" Target="https://www.reinhausen.com/fileadmin/downloadcenter/products/drives/tapmotion_ed/technical_data/td_ed_en.pdf" TargetMode="External"/><Relationship Id="rIdimv3lzkkd7sdfpm21r927" Type="http://schemas.openxmlformats.org/officeDocument/2006/relationships/hyperlink" Target="https://www.reinhausen.com/fileadmin/downloadcenter/products/drives/tapmotion_ed/ba/bal_1800138_08_001_en.pdf" TargetMode="External"/><Relationship Id="rIdborycu4lvkeo6xzoh5cq9" Type="http://schemas.openxmlformats.org/officeDocument/2006/relationships/hyperlink" Target="https://www.reinhausen.com/fileadmin/downloadcenter/spannungsregler/tapcon230_previous_generation/2664024_03_en_tc230_expert_iec61850.pd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2026-09-29T16:35:02.246Z</dcterms:created>
  <dcterms:modified xsi:type="dcterms:W3CDTF">2026-09-29T16:35:02.247Z</dcterms:modified>
</cp:coreProperties>
</file>

<file path=docProps/custom.xml><?xml version="1.0" encoding="utf-8"?>
<Properties xmlns="http://schemas.openxmlformats.org/officeDocument/2006/custom-properties" xmlns:vt="http://schemas.openxmlformats.org/officeDocument/2006/docPropsVTypes"/>
</file>