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172F4" w14:textId="12E03F6D" w:rsidR="00045225" w:rsidRPr="00881D4D" w:rsidRDefault="00045225" w:rsidP="00045225">
      <w:pPr>
        <w:spacing w:line="276" w:lineRule="auto"/>
        <w:jc w:val="center"/>
        <w:rPr>
          <w:rFonts w:ascii="Times New Roman" w:hAnsi="Times New Roman" w:cs="Times New Roman"/>
          <w:b/>
          <w:bCs/>
          <w:sz w:val="24"/>
          <w:szCs w:val="24"/>
        </w:rPr>
      </w:pPr>
      <w:r w:rsidRPr="00881D4D">
        <w:rPr>
          <w:rFonts w:ascii="Times New Roman" w:hAnsi="Times New Roman" w:cs="Times New Roman"/>
          <w:b/>
          <w:bCs/>
          <w:sz w:val="24"/>
          <w:szCs w:val="24"/>
        </w:rPr>
        <w:t>Machine learning analysis on biomedical waste ash in concrete predicting mechanical properties</w:t>
      </w:r>
    </w:p>
    <w:p w14:paraId="6DC6A166" w14:textId="11783DE9" w:rsidR="00045225" w:rsidRPr="00881D4D" w:rsidRDefault="00045225" w:rsidP="00045225">
      <w:pPr>
        <w:spacing w:line="276" w:lineRule="auto"/>
        <w:rPr>
          <w:rFonts w:ascii="Times New Roman" w:hAnsi="Times New Roman" w:cs="Times New Roman"/>
          <w:b/>
          <w:bCs/>
          <w:sz w:val="24"/>
          <w:szCs w:val="24"/>
        </w:rPr>
      </w:pPr>
      <w:r w:rsidRPr="00881D4D">
        <w:rPr>
          <w:rFonts w:ascii="Times New Roman" w:hAnsi="Times New Roman" w:cs="Times New Roman"/>
          <w:b/>
          <w:bCs/>
          <w:sz w:val="24"/>
          <w:szCs w:val="24"/>
        </w:rPr>
        <w:t>Abstract</w:t>
      </w:r>
    </w:p>
    <w:p w14:paraId="56C4EBAD" w14:textId="77777777" w:rsidR="00BC74AA" w:rsidRPr="00881D4D" w:rsidRDefault="00BC74AA" w:rsidP="00045225">
      <w:pPr>
        <w:spacing w:line="276" w:lineRule="auto"/>
        <w:rPr>
          <w:rFonts w:ascii="Times New Roman" w:hAnsi="Times New Roman" w:cs="Times New Roman"/>
          <w:b/>
          <w:bCs/>
          <w:sz w:val="24"/>
          <w:szCs w:val="24"/>
        </w:rPr>
      </w:pPr>
    </w:p>
    <w:p w14:paraId="0DACF1A4" w14:textId="2E3C9AB7" w:rsidR="00045225" w:rsidRPr="00881D4D" w:rsidRDefault="00045225" w:rsidP="00045225">
      <w:pPr>
        <w:spacing w:line="276" w:lineRule="auto"/>
        <w:rPr>
          <w:rFonts w:ascii="Times New Roman" w:hAnsi="Times New Roman" w:cs="Times New Roman"/>
          <w:b/>
          <w:bCs/>
          <w:sz w:val="24"/>
          <w:szCs w:val="24"/>
        </w:rPr>
      </w:pPr>
      <w:r w:rsidRPr="00881D4D">
        <w:rPr>
          <w:rFonts w:ascii="Times New Roman" w:hAnsi="Times New Roman" w:cs="Times New Roman"/>
          <w:b/>
          <w:bCs/>
          <w:sz w:val="24"/>
          <w:szCs w:val="24"/>
        </w:rPr>
        <w:t>Keywords</w:t>
      </w:r>
    </w:p>
    <w:p w14:paraId="1399A1A2" w14:textId="77777777" w:rsidR="00BC74AA" w:rsidRPr="00881D4D" w:rsidRDefault="00BC74AA" w:rsidP="00045225">
      <w:pPr>
        <w:spacing w:line="276" w:lineRule="auto"/>
        <w:rPr>
          <w:rFonts w:ascii="Times New Roman" w:hAnsi="Times New Roman" w:cs="Times New Roman"/>
          <w:b/>
          <w:bCs/>
          <w:sz w:val="24"/>
          <w:szCs w:val="24"/>
        </w:rPr>
      </w:pPr>
    </w:p>
    <w:p w14:paraId="637F7DCE" w14:textId="45F7C326" w:rsidR="00045225" w:rsidRPr="007D791E" w:rsidRDefault="00045225" w:rsidP="007D791E">
      <w:pPr>
        <w:pStyle w:val="ListParagraph"/>
        <w:numPr>
          <w:ilvl w:val="0"/>
          <w:numId w:val="5"/>
        </w:numPr>
        <w:spacing w:after="0" w:line="360" w:lineRule="auto"/>
        <w:jc w:val="both"/>
        <w:rPr>
          <w:rFonts w:ascii="Times New Roman" w:hAnsi="Times New Roman" w:cs="Times New Roman"/>
          <w:b/>
          <w:bCs/>
          <w:sz w:val="24"/>
          <w:szCs w:val="24"/>
        </w:rPr>
      </w:pPr>
      <w:r w:rsidRPr="007D791E">
        <w:rPr>
          <w:rFonts w:ascii="Times New Roman" w:hAnsi="Times New Roman" w:cs="Times New Roman"/>
          <w:b/>
          <w:bCs/>
          <w:sz w:val="24"/>
          <w:szCs w:val="24"/>
        </w:rPr>
        <w:t>I</w:t>
      </w:r>
      <w:r w:rsidR="007D791E" w:rsidRPr="007D791E">
        <w:rPr>
          <w:rFonts w:ascii="Times New Roman" w:hAnsi="Times New Roman" w:cs="Times New Roman"/>
          <w:b/>
          <w:bCs/>
          <w:sz w:val="24"/>
          <w:szCs w:val="24"/>
        </w:rPr>
        <w:t xml:space="preserve">NTRODUCTION </w:t>
      </w:r>
    </w:p>
    <w:p w14:paraId="392B4491"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Concrete remains the most widely used construction material worldwide, second only to water in terms of human consumption. Its ubiquity in structural systems such as pavements, bridges, high-rise buildings, dams, and tunnels stems from its versatility, durability, and relatively low cost. However, its environmental footprint has raised pressing concerns. Ordinary Portland Cement (OPC), the principal binding material in concrete, contributes approximately 7–8% of global carbon dioxide (CO₂) emissions. This arises from both the calcination of limestone and the energy-intensive production process that requires high-temperature kilns. With urbanization and infrastructure demands accelerating globally, cement consumption is projected to rise, exacerbating greenhouse gas emissions and further pressuring natural resources. These challenges have driven researchers to explore sustainable materials and alternative binders capable of reducing the reliance on conventional cement.</w:t>
      </w:r>
    </w:p>
    <w:p w14:paraId="4BF24F1C"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One promising strategy is the use of supplementary cementitious materials (SCMs). These are industrial or agricultural by-products that can partially replace cement while improving durability and reducing overall carbon intensity. Fly ash, silica fume, rice husk ash, and ground granulated blast furnace slag (GGBS) have been studied extensively and are already used in practice. Their benefits include reduced permeability, improved resistance to chemical attack, and enhanced long-term strength. However, conventional SCMs are not sufficient to meet the massive demand for sustainable alternatives. In addition, regional supply limitations and quality variability can affect their consistent use. This has motivated exploration of nontraditional waste streams, particularly those that pose environmental hazards if left untreated.</w:t>
      </w:r>
    </w:p>
    <w:p w14:paraId="6D4956E4"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 xml:space="preserve">Biomedical waste (BMW) represents one such challenging waste stream. It is generated daily from hospitals, laboratories, and diagnostic centers in the form of disposable masks, gloves, syringes, and contaminated materials. With the COVID-19 pandemic, global BMW generation surged dramatically, straining waste management systems. Incineration is the most common method for BMW disposal, reducing its volume by up to 80–90%. However, the </w:t>
      </w:r>
      <w:r w:rsidRPr="00147C96">
        <w:rPr>
          <w:color w:val="000000"/>
        </w:rPr>
        <w:lastRenderedPageBreak/>
        <w:t>process leaves behind large amounts of biomedical waste ash (BMWA), which is often dumped in landfills without proper treatment. This ash contains heavy metals and fine particulates, raising risks of leaching, groundwater contamination, and air pollution. Managing this ash is both an environmental and a public health challenge.</w:t>
      </w:r>
    </w:p>
    <w:p w14:paraId="31975806"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The valorization of BMWA in construction materials offers a sustainable alternative to landfilling. By immobilizing ash particles within a cementitious matrix, the potential leaching of harmful elements can be minimized, while simultaneously reducing OPC demand. Preliminary investigations into BMWA concrete have indicated that limited replacement levels may enhance durability, particularly resistance to chloride penetration, but higher percentages generally compromise mechanical performance. This is attributed to the dilution of clinker content and the relatively lower pozzolanic reactivity of BMWA compared to conventional SCMs.</w:t>
      </w:r>
    </w:p>
    <w:p w14:paraId="4AC906F9"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The idea of using waste ashes in concrete is not new. Numerous studies have demonstrated the feasibility of incorporating industrial by-products and agricultural ashes into cementitious systems. For example, high-volume fly ash concretes have been shown to significantly reduce CO₂ emissions while achieving satisfactory long-term strength. Rice husk ash has been reported to improve resistance to chloride ingress and enhance durability in marine environments. Similarly, sugarcane bagasse ash and palm oil fuel ash have demonstrated partial pozzolanic activity, allowing their use as low-level SCMs.</w:t>
      </w:r>
    </w:p>
    <w:p w14:paraId="1D1D6ABB"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Research on municipal solid waste incineration (MSWI) ash has shown that, when adequately treated, it can serve as a secondary binder in concrete. However, concerns about heavy metal leaching and variable composition have limited large-scale adoption. Biomedical waste ash, while chemically different from MSWI ash, shares these challenges. Initial experimental works on BMWA in concrete confirm that mechanical properties tend to decrease with increasing replacement levels, but durability may improve under certain conditions. For example, chloride penetration resistance was reported to be enhanced at replacement levels around 10–15%, suggesting that BMWA may refine pore structure despite reducing strength.</w:t>
      </w:r>
    </w:p>
    <w:p w14:paraId="0C944D78" w14:textId="0D618BC5"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Despite these findings, the literature on BMWA-concrete remains sparse. Most existing studies focus on small-scale experimental investigations without developing predictive frameworks or exploring large datasets. Moreover, the nonlinear behavior of BMWA-incorporated concrete</w:t>
      </w:r>
      <w:r>
        <w:rPr>
          <w:color w:val="000000"/>
        </w:rPr>
        <w:t xml:space="preserve"> </w:t>
      </w:r>
      <w:r w:rsidRPr="00147C96">
        <w:rPr>
          <w:color w:val="000000"/>
        </w:rPr>
        <w:t>where strength does not vary linearly with replacement ratio, curing age, or water-to-binder ratio—has not been adequately addressed in past models. This gap highlights the need for advanced computational methods capable of handling nonlinear interactions and complex feature dependencies.</w:t>
      </w:r>
    </w:p>
    <w:p w14:paraId="56B466F7" w14:textId="77777777" w:rsidR="00147C96" w:rsidRPr="00147C96" w:rsidRDefault="00147C96" w:rsidP="00147C96">
      <w:pPr>
        <w:pStyle w:val="NormalWeb"/>
        <w:spacing w:after="0" w:afterAutospacing="0" w:line="360" w:lineRule="auto"/>
        <w:ind w:firstLine="720"/>
        <w:jc w:val="both"/>
        <w:rPr>
          <w:color w:val="000000"/>
        </w:rPr>
      </w:pPr>
      <w:r w:rsidRPr="00147C96">
        <w:rPr>
          <w:color w:val="000000"/>
        </w:rPr>
        <w:lastRenderedPageBreak/>
        <w:t>Machine learning (ML) offers significant potential in addressing the complexity of BMWA-concrete behavior. Unlike traditional regression-based approaches, ML models can learn from raw experimental data and capture nonlinear interactions without requiring predefined equations. In civil engineering, ML has already been applied successfully to predict compressive strength, slump, flexural behavior, and durability indicators such as carbonation depth and sulfate resistance. Algorithms such as Artificial Neural Networks (ANN), Support Vector Regression (SVR), Random Forests (RF), and Gradient Boosting (GB) have shown high predictive accuracy compared to empirical methods.</w:t>
      </w:r>
    </w:p>
    <w:p w14:paraId="61DEED84" w14:textId="61A6EF4C"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 xml:space="preserve">More recently, advanced deep learning approaches have been explored. Transformer-based architectures such as SAINT and interpretable frameworks like </w:t>
      </w:r>
      <w:proofErr w:type="spellStart"/>
      <w:r w:rsidRPr="00147C96">
        <w:rPr>
          <w:color w:val="000000"/>
        </w:rPr>
        <w:t>TabNet</w:t>
      </w:r>
      <w:proofErr w:type="spellEnd"/>
      <w:r w:rsidRPr="00147C96">
        <w:rPr>
          <w:color w:val="000000"/>
        </w:rPr>
        <w:t xml:space="preserve"> have been tailored for tabular datasets, offering both high accuracy and explainability. These models use attention mechanisms to focus on the most relevant features, improving prediction reliability and offering insights into feature importance. In parallel, ensemble learning—where multiple models are combined—has been tested to </w:t>
      </w:r>
      <w:r w:rsidR="007D791E">
        <w:rPr>
          <w:color w:val="000000"/>
        </w:rPr>
        <w:t>enhanc</w:t>
      </w:r>
      <w:r w:rsidRPr="00147C96">
        <w:rPr>
          <w:color w:val="000000"/>
        </w:rPr>
        <w:t>e stability and generalization. Collectively, these advancements suggest that ML can serve not only as a predictive tool but also as a decision-support system for sustainable mix design.</w:t>
      </w:r>
    </w:p>
    <w:p w14:paraId="4FB03E7D" w14:textId="1D618E44" w:rsidR="00147C96" w:rsidRPr="00147C96" w:rsidRDefault="00147C96" w:rsidP="00147C96">
      <w:pPr>
        <w:pStyle w:val="NormalWeb"/>
        <w:spacing w:before="0" w:beforeAutospacing="0" w:after="0" w:afterAutospacing="0" w:line="360" w:lineRule="auto"/>
        <w:ind w:firstLine="360"/>
        <w:jc w:val="both"/>
        <w:rPr>
          <w:color w:val="000000"/>
        </w:rPr>
      </w:pPr>
      <w:r w:rsidRPr="00147C96">
        <w:rPr>
          <w:color w:val="000000"/>
        </w:rPr>
        <w:t>The objectives are:</w:t>
      </w:r>
    </w:p>
    <w:p w14:paraId="3AF7A411" w14:textId="24D552AD" w:rsidR="007D791E" w:rsidRDefault="007D791E" w:rsidP="007D791E">
      <w:pPr>
        <w:pStyle w:val="NormalWeb"/>
        <w:numPr>
          <w:ilvl w:val="0"/>
          <w:numId w:val="3"/>
        </w:numPr>
        <w:spacing w:before="0" w:beforeAutospacing="0" w:after="0" w:afterAutospacing="0" w:line="360" w:lineRule="auto"/>
        <w:jc w:val="both"/>
      </w:pPr>
      <w:r>
        <w:t xml:space="preserve">To compile a systematic dataset of BMWA-concrete mixes and apply advanced ML algorithms (RF, SAINT, </w:t>
      </w:r>
      <w:proofErr w:type="spellStart"/>
      <w:r>
        <w:t>TabNet</w:t>
      </w:r>
      <w:proofErr w:type="spellEnd"/>
      <w:r>
        <w:t>, Ensemble) to predict their 28-day compressive, tensile, and flexural strengths.</w:t>
      </w:r>
    </w:p>
    <w:p w14:paraId="495DF8F7" w14:textId="400D91D2" w:rsidR="007D791E" w:rsidRDefault="007D791E" w:rsidP="007D791E">
      <w:pPr>
        <w:pStyle w:val="NormalWeb"/>
        <w:numPr>
          <w:ilvl w:val="0"/>
          <w:numId w:val="3"/>
        </w:numPr>
        <w:spacing w:before="0" w:beforeAutospacing="0" w:after="0" w:afterAutospacing="0" w:line="360" w:lineRule="auto"/>
        <w:jc w:val="both"/>
      </w:pPr>
      <w:r>
        <w:t>To evaluate model performance through multi-metric assessment and k-fold cross-validation for accuracy and robustness.</w:t>
      </w:r>
    </w:p>
    <w:p w14:paraId="3524FEF0" w14:textId="63A007AB" w:rsidR="007D791E" w:rsidRDefault="007D791E" w:rsidP="007D791E">
      <w:pPr>
        <w:pStyle w:val="NormalWeb"/>
        <w:numPr>
          <w:ilvl w:val="0"/>
          <w:numId w:val="3"/>
        </w:numPr>
        <w:spacing w:before="0" w:beforeAutospacing="0" w:after="0" w:afterAutospacing="0" w:line="360" w:lineRule="auto"/>
        <w:jc w:val="both"/>
      </w:pPr>
      <w:r>
        <w:t>To use SHAP, sensitivity, and feature importance analyses to interpret predictions and identify optimal BMWA replacement levels balancing strength and durability.</w:t>
      </w:r>
    </w:p>
    <w:p w14:paraId="500D534F" w14:textId="77777777" w:rsidR="00147C96" w:rsidRDefault="00147C96" w:rsidP="00147C96">
      <w:pPr>
        <w:pStyle w:val="Heading3"/>
        <w:spacing w:before="0" w:line="360" w:lineRule="auto"/>
        <w:jc w:val="both"/>
        <w:rPr>
          <w:rFonts w:ascii="Times New Roman" w:hAnsi="Times New Roman" w:cs="Times New Roman"/>
          <w:color w:val="000000"/>
          <w:sz w:val="24"/>
          <w:szCs w:val="24"/>
        </w:rPr>
      </w:pPr>
    </w:p>
    <w:p w14:paraId="7EC812F3" w14:textId="72B49DDD" w:rsidR="00147C96" w:rsidRPr="007D791E" w:rsidRDefault="007D791E" w:rsidP="00147C96">
      <w:pPr>
        <w:pStyle w:val="Heading3"/>
        <w:spacing w:before="0" w:line="360" w:lineRule="auto"/>
        <w:jc w:val="both"/>
        <w:rPr>
          <w:rFonts w:ascii="Times New Roman" w:hAnsi="Times New Roman" w:cs="Times New Roman"/>
          <w:i/>
          <w:iCs/>
          <w:color w:val="000000"/>
          <w:sz w:val="24"/>
          <w:szCs w:val="24"/>
        </w:rPr>
      </w:pPr>
      <w:r w:rsidRPr="007D791E">
        <w:rPr>
          <w:rFonts w:ascii="Times New Roman" w:hAnsi="Times New Roman" w:cs="Times New Roman"/>
          <w:i/>
          <w:iCs/>
          <w:color w:val="000000"/>
          <w:sz w:val="24"/>
          <w:szCs w:val="24"/>
        </w:rPr>
        <w:t xml:space="preserve">1.1 </w:t>
      </w:r>
      <w:r w:rsidR="00147C96" w:rsidRPr="007D791E">
        <w:rPr>
          <w:rFonts w:ascii="Times New Roman" w:hAnsi="Times New Roman" w:cs="Times New Roman"/>
          <w:i/>
          <w:iCs/>
          <w:color w:val="000000"/>
          <w:sz w:val="24"/>
          <w:szCs w:val="24"/>
        </w:rPr>
        <w:t>Research Gap and Significance</w:t>
      </w:r>
    </w:p>
    <w:p w14:paraId="5C8BF60D" w14:textId="77777777" w:rsidR="00147C96" w:rsidRPr="00147C96" w:rsidRDefault="00147C96" w:rsidP="00147C96">
      <w:pPr>
        <w:pStyle w:val="NormalWeb"/>
        <w:spacing w:before="0" w:beforeAutospacing="0" w:after="0" w:afterAutospacing="0" w:line="360" w:lineRule="auto"/>
        <w:ind w:firstLine="720"/>
        <w:jc w:val="both"/>
        <w:rPr>
          <w:color w:val="000000"/>
        </w:rPr>
      </w:pPr>
      <w:r w:rsidRPr="00147C96">
        <w:rPr>
          <w:color w:val="000000"/>
        </w:rPr>
        <w:t xml:space="preserve">Although machine learning (ML) has been widely applied in conventional concrete technology, its use for unconventional binders such as biomedical waste ash (BMWA) remains scarce. Most existing studies rely heavily on direct laboratory evaluations, which restrict their scalability and limit the ability to generalize results across varying mix designs and conditions. Additionally, there is no clear consensus on which ML algorithms are most effective for BMWA-concrete datasets, and very few works have explored model interpretability to explain how different mix parameters influence predictions. This lack of computational integration </w:t>
      </w:r>
      <w:r w:rsidRPr="00147C96">
        <w:rPr>
          <w:color w:val="000000"/>
        </w:rPr>
        <w:lastRenderedPageBreak/>
        <w:t>means that engineers and practitioners currently lack robust predictive frameworks to optimize BMWA mix designs and forecast durability.</w:t>
      </w:r>
    </w:p>
    <w:p w14:paraId="668D5BBE" w14:textId="7F4632D5" w:rsidR="00BC74AA" w:rsidRPr="00147C96" w:rsidRDefault="00147C96" w:rsidP="00147C96">
      <w:pPr>
        <w:pStyle w:val="NormalWeb"/>
        <w:spacing w:before="0" w:beforeAutospacing="0" w:line="360" w:lineRule="auto"/>
        <w:ind w:firstLine="720"/>
        <w:jc w:val="both"/>
        <w:rPr>
          <w:color w:val="000000"/>
        </w:rPr>
      </w:pPr>
      <w:r w:rsidRPr="00147C96">
        <w:rPr>
          <w:color w:val="000000"/>
        </w:rPr>
        <w:t>This study addresses the identified gap by combining experimental investigations with advanced ML modeling to predict the mechanical properties of BMWA-concrete. The approach not only advances methodological rigor by applying state-of-the-art algorithms and interpretability techniques but also provides practical value by generating data-driven models for safe and efficient mix optimization. By demonstrating the feasibility of BMWA as a sustainable cement substitute, the study contributes to waste valorization, sustainable construction practices, and climate change mitigation. Furthermore, it aligns with the principles of the circular economy and supports global sustainability goals, particularly SDGs 11 (Sustainable Cities and Communities), 12 (Responsible Consumption and Production), and 13 (Climate Action).</w:t>
      </w:r>
    </w:p>
    <w:p w14:paraId="62D2BE15" w14:textId="5A763855" w:rsidR="00BC74AA" w:rsidRPr="007D791E" w:rsidRDefault="00045225" w:rsidP="007D791E">
      <w:pPr>
        <w:pStyle w:val="ListParagraph"/>
        <w:numPr>
          <w:ilvl w:val="0"/>
          <w:numId w:val="5"/>
        </w:numPr>
        <w:spacing w:line="276" w:lineRule="auto"/>
        <w:rPr>
          <w:rFonts w:ascii="Times New Roman" w:hAnsi="Times New Roman" w:cs="Times New Roman"/>
          <w:b/>
          <w:bCs/>
          <w:sz w:val="24"/>
          <w:szCs w:val="24"/>
        </w:rPr>
      </w:pPr>
      <w:r w:rsidRPr="007D791E">
        <w:rPr>
          <w:rFonts w:ascii="Times New Roman" w:hAnsi="Times New Roman" w:cs="Times New Roman"/>
          <w:b/>
          <w:bCs/>
          <w:sz w:val="24"/>
          <w:szCs w:val="24"/>
        </w:rPr>
        <w:t>M</w:t>
      </w:r>
      <w:r w:rsidR="007D791E" w:rsidRPr="007D791E">
        <w:rPr>
          <w:rFonts w:ascii="Times New Roman" w:hAnsi="Times New Roman" w:cs="Times New Roman"/>
          <w:b/>
          <w:bCs/>
          <w:sz w:val="24"/>
          <w:szCs w:val="24"/>
        </w:rPr>
        <w:t>ETHODOLOGY</w:t>
      </w:r>
    </w:p>
    <w:p w14:paraId="2587E191" w14:textId="06F2C3B6" w:rsidR="00045225" w:rsidRPr="007D791E" w:rsidRDefault="007D791E" w:rsidP="00591AF7">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2.1 </w:t>
      </w:r>
      <w:r w:rsidR="00045225" w:rsidRPr="007D791E">
        <w:rPr>
          <w:rFonts w:ascii="Times New Roman" w:hAnsi="Times New Roman" w:cs="Times New Roman"/>
          <w:i/>
          <w:iCs/>
          <w:sz w:val="24"/>
          <w:szCs w:val="24"/>
        </w:rPr>
        <w:t>Machine Learning</w:t>
      </w:r>
      <w:r w:rsidR="00BC74AA" w:rsidRPr="007D791E">
        <w:rPr>
          <w:rFonts w:ascii="Times New Roman" w:hAnsi="Times New Roman" w:cs="Times New Roman"/>
          <w:i/>
          <w:iCs/>
          <w:sz w:val="24"/>
          <w:szCs w:val="24"/>
        </w:rPr>
        <w:t xml:space="preserve"> </w:t>
      </w:r>
    </w:p>
    <w:p w14:paraId="7A190F63" w14:textId="6FBDCA5E" w:rsidR="00591AF7" w:rsidRPr="007D791E" w:rsidRDefault="007D791E" w:rsidP="00591AF7">
      <w:pPr>
        <w:pStyle w:val="Heading3"/>
        <w:spacing w:after="0" w:line="360" w:lineRule="auto"/>
        <w:jc w:val="both"/>
        <w:rPr>
          <w:rFonts w:ascii="Times New Roman" w:hAnsi="Times New Roman" w:cs="Times New Roman"/>
          <w:i/>
          <w:iCs/>
          <w:color w:val="000000"/>
          <w:sz w:val="24"/>
          <w:szCs w:val="24"/>
        </w:rPr>
      </w:pPr>
      <w:r w:rsidRPr="007D791E">
        <w:rPr>
          <w:rFonts w:ascii="Times New Roman" w:hAnsi="Times New Roman" w:cs="Times New Roman"/>
          <w:i/>
          <w:iCs/>
          <w:color w:val="000000"/>
          <w:sz w:val="24"/>
          <w:szCs w:val="24"/>
        </w:rPr>
        <w:t>2.</w:t>
      </w:r>
      <w:r>
        <w:rPr>
          <w:rFonts w:ascii="Times New Roman" w:hAnsi="Times New Roman" w:cs="Times New Roman"/>
          <w:i/>
          <w:iCs/>
          <w:color w:val="000000"/>
          <w:sz w:val="24"/>
          <w:szCs w:val="24"/>
        </w:rPr>
        <w:t xml:space="preserve">2 </w:t>
      </w:r>
      <w:r w:rsidR="00591AF7" w:rsidRPr="007D791E">
        <w:rPr>
          <w:rFonts w:ascii="Times New Roman" w:hAnsi="Times New Roman" w:cs="Times New Roman"/>
          <w:i/>
          <w:iCs/>
          <w:color w:val="000000"/>
          <w:sz w:val="24"/>
          <w:szCs w:val="24"/>
        </w:rPr>
        <w:t>Dataset Preparation</w:t>
      </w:r>
    </w:p>
    <w:p w14:paraId="2E703670" w14:textId="77777777" w:rsidR="00591AF7" w:rsidRDefault="00591AF7" w:rsidP="00591AF7">
      <w:pPr>
        <w:pStyle w:val="NormalWeb"/>
        <w:spacing w:before="0" w:beforeAutospacing="0" w:after="0" w:afterAutospacing="0" w:line="360" w:lineRule="auto"/>
        <w:ind w:firstLine="720"/>
        <w:jc w:val="both"/>
        <w:rPr>
          <w:color w:val="000000"/>
        </w:rPr>
      </w:pPr>
      <w:r w:rsidRPr="00881D4D">
        <w:rPr>
          <w:color w:val="000000"/>
        </w:rPr>
        <w:t xml:space="preserve">The dataset was derived from laboratory experiments on concrete mixes incorporating biomedical waste ash (BMWA) as a partial cement replacement. A total of samples </w:t>
      </w:r>
      <w:proofErr w:type="gramStart"/>
      <w:r w:rsidRPr="00881D4D">
        <w:rPr>
          <w:color w:val="000000"/>
        </w:rPr>
        <w:t>were</w:t>
      </w:r>
      <w:proofErr w:type="gramEnd"/>
      <w:r w:rsidRPr="00881D4D">
        <w:rPr>
          <w:color w:val="000000"/>
        </w:rPr>
        <w:t xml:space="preserve"> collected, covering compressive strength (CS), tensile strength (TS), and flexural strength (FS) at 7, 14, and 28 days. Data preprocessing included normalization to address differences in magnitude across input variables such as BMWA content (% and kg/m³), cement content, and curing-age strength values. Strong correlations were identified, notably between BMWA (%) and BMWA (kg/m³) (r = 0.96), while BMWA (%) showed a strong negative correlation with cement content (r = –0.93). Strength development across curing ages was consistent, with compressive strength at 7, 14, and 28 days showing inter-correlations in the range of 0.78–0.85.</w:t>
      </w:r>
    </w:p>
    <w:p w14:paraId="55190E03" w14:textId="77777777" w:rsidR="007D791E" w:rsidRPr="00881D4D" w:rsidRDefault="007D791E" w:rsidP="00591AF7">
      <w:pPr>
        <w:pStyle w:val="NormalWeb"/>
        <w:spacing w:before="0" w:beforeAutospacing="0" w:after="0" w:afterAutospacing="0" w:line="360" w:lineRule="auto"/>
        <w:ind w:firstLine="720"/>
        <w:jc w:val="both"/>
        <w:rPr>
          <w:color w:val="000000"/>
        </w:rPr>
      </w:pPr>
    </w:p>
    <w:p w14:paraId="1B9541A5" w14:textId="4DC28B59" w:rsidR="00591AF7" w:rsidRPr="007D791E" w:rsidRDefault="007D791E" w:rsidP="00591AF7">
      <w:pPr>
        <w:pStyle w:val="Heading3"/>
        <w:spacing w:after="0" w:line="360" w:lineRule="auto"/>
        <w:jc w:val="both"/>
        <w:rPr>
          <w:rFonts w:ascii="Times New Roman" w:hAnsi="Times New Roman" w:cs="Times New Roman"/>
          <w:i/>
          <w:iCs/>
          <w:color w:val="000000"/>
          <w:sz w:val="24"/>
          <w:szCs w:val="24"/>
        </w:rPr>
      </w:pPr>
      <w:r w:rsidRPr="007D791E">
        <w:rPr>
          <w:rFonts w:ascii="Times New Roman" w:hAnsi="Times New Roman" w:cs="Times New Roman"/>
          <w:i/>
          <w:iCs/>
          <w:color w:val="000000"/>
          <w:sz w:val="24"/>
          <w:szCs w:val="24"/>
        </w:rPr>
        <w:t xml:space="preserve">2.3 </w:t>
      </w:r>
      <w:r w:rsidR="00591AF7" w:rsidRPr="007D791E">
        <w:rPr>
          <w:rFonts w:ascii="Times New Roman" w:hAnsi="Times New Roman" w:cs="Times New Roman"/>
          <w:i/>
          <w:iCs/>
          <w:color w:val="000000"/>
          <w:sz w:val="24"/>
          <w:szCs w:val="24"/>
        </w:rPr>
        <w:t>Model Development</w:t>
      </w:r>
    </w:p>
    <w:p w14:paraId="1F40B1A2" w14:textId="592C98D3" w:rsidR="00591AF7" w:rsidRPr="00881D4D" w:rsidRDefault="00591AF7" w:rsidP="007D791E">
      <w:pPr>
        <w:pStyle w:val="NormalWeb"/>
        <w:spacing w:before="0" w:beforeAutospacing="0" w:after="0" w:afterAutospacing="0" w:line="360" w:lineRule="auto"/>
        <w:ind w:firstLine="720"/>
        <w:jc w:val="both"/>
        <w:rPr>
          <w:color w:val="000000"/>
        </w:rPr>
      </w:pPr>
      <w:r w:rsidRPr="00881D4D">
        <w:rPr>
          <w:color w:val="000000"/>
        </w:rPr>
        <w:t xml:space="preserve">To capture the nonlinear relationship between biomedical waste ash (BMWA) content, cement replacement, and the mechanical properties of concrete, four machine learning algorithms were selected: Random Forest, SAINT, </w:t>
      </w:r>
      <w:proofErr w:type="spellStart"/>
      <w:r w:rsidRPr="00881D4D">
        <w:rPr>
          <w:color w:val="000000"/>
        </w:rPr>
        <w:t>TabNet</w:t>
      </w:r>
      <w:proofErr w:type="spellEnd"/>
      <w:r w:rsidRPr="00881D4D">
        <w:rPr>
          <w:color w:val="000000"/>
        </w:rPr>
        <w:t>, and an Ensemble model. Each model offers distinct methodological strengths, which together provide a comprehensive assessment of predictive capability for structured experimental data.</w:t>
      </w:r>
    </w:p>
    <w:p w14:paraId="5E1EDBE5" w14:textId="4B75B288"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2.3.1 </w:t>
      </w:r>
      <w:r w:rsidR="00591AF7" w:rsidRPr="00881D4D">
        <w:rPr>
          <w:rFonts w:ascii="Times New Roman" w:hAnsi="Times New Roman" w:cs="Times New Roman"/>
          <w:color w:val="000000"/>
          <w:sz w:val="24"/>
          <w:szCs w:val="24"/>
        </w:rPr>
        <w:t>Random Forest (RF)</w:t>
      </w:r>
    </w:p>
    <w:p w14:paraId="60E6CB56" w14:textId="77777777" w:rsidR="00591AF7" w:rsidRPr="00881D4D" w:rsidRDefault="00591AF7" w:rsidP="00591AF7">
      <w:pPr>
        <w:pStyle w:val="NormalWeb"/>
        <w:spacing w:before="0" w:beforeAutospacing="0" w:after="0" w:afterAutospacing="0" w:line="360" w:lineRule="auto"/>
        <w:ind w:firstLine="720"/>
        <w:jc w:val="both"/>
        <w:rPr>
          <w:color w:val="000000"/>
        </w:rPr>
      </w:pPr>
      <w:r w:rsidRPr="00881D4D">
        <w:rPr>
          <w:color w:val="000000"/>
        </w:rPr>
        <w:t>Random Forest is an ensemble learning method based on decision trees. It constructs multiple trees using bootstrap samples of the dataset and introduces randomness by selecting a subset of features at each node split. The final prediction is obtained by averaging the outputs of all trees (for regression tasks). This reduces overfitting and ensures stable performance on noisy experimental data. RF is particularly effective for materials research where input variables (cement, BMWA content, curing ages) interact in complex nonlinear ways. In this study, RF provided strong predictive accuracy (training R² = 0.82, RMSE = 0.185 MPa), reflecting its robustness in capturing both linear and nonlinear patterns.</w:t>
      </w:r>
    </w:p>
    <w:p w14:paraId="0542C012" w14:textId="77777777" w:rsidR="00591AF7" w:rsidRPr="00881D4D" w:rsidRDefault="00591AF7" w:rsidP="00591AF7">
      <w:pPr>
        <w:pStyle w:val="Heading4"/>
        <w:spacing w:after="0" w:line="360" w:lineRule="auto"/>
        <w:jc w:val="both"/>
        <w:rPr>
          <w:rFonts w:ascii="Times New Roman" w:hAnsi="Times New Roman" w:cs="Times New Roman"/>
          <w:color w:val="000000"/>
          <w:sz w:val="24"/>
          <w:szCs w:val="24"/>
        </w:rPr>
      </w:pPr>
    </w:p>
    <w:p w14:paraId="111398B5" w14:textId="2C1A8C11"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2.3.2 </w:t>
      </w:r>
      <w:r w:rsidR="00591AF7" w:rsidRPr="00881D4D">
        <w:rPr>
          <w:rFonts w:ascii="Times New Roman" w:hAnsi="Times New Roman" w:cs="Times New Roman"/>
          <w:color w:val="000000"/>
          <w:sz w:val="24"/>
          <w:szCs w:val="24"/>
        </w:rPr>
        <w:t xml:space="preserve">SAINT (Self-Attention and </w:t>
      </w:r>
      <w:proofErr w:type="spellStart"/>
      <w:r w:rsidR="00591AF7" w:rsidRPr="00881D4D">
        <w:rPr>
          <w:rFonts w:ascii="Times New Roman" w:hAnsi="Times New Roman" w:cs="Times New Roman"/>
          <w:color w:val="000000"/>
          <w:sz w:val="24"/>
          <w:szCs w:val="24"/>
        </w:rPr>
        <w:t>Intersample</w:t>
      </w:r>
      <w:proofErr w:type="spellEnd"/>
      <w:r w:rsidR="00591AF7" w:rsidRPr="00881D4D">
        <w:rPr>
          <w:rFonts w:ascii="Times New Roman" w:hAnsi="Times New Roman" w:cs="Times New Roman"/>
          <w:color w:val="000000"/>
          <w:sz w:val="24"/>
          <w:szCs w:val="24"/>
        </w:rPr>
        <w:t xml:space="preserve"> Transformer)</w:t>
      </w:r>
    </w:p>
    <w:p w14:paraId="37D611E6" w14:textId="77777777" w:rsidR="00591AF7" w:rsidRPr="00881D4D" w:rsidRDefault="00591AF7" w:rsidP="00591AF7">
      <w:pPr>
        <w:pStyle w:val="NormalWeb"/>
        <w:spacing w:before="0" w:beforeAutospacing="0" w:after="0" w:afterAutospacing="0" w:line="360" w:lineRule="auto"/>
        <w:ind w:firstLine="720"/>
        <w:jc w:val="both"/>
        <w:rPr>
          <w:color w:val="000000"/>
        </w:rPr>
      </w:pPr>
      <w:r w:rsidRPr="00881D4D">
        <w:rPr>
          <w:color w:val="000000"/>
        </w:rPr>
        <w:t>SAINT is a transformer-based deep learning model designed for tabular data. Unlike traditional models that treat rows independently, SAINT incorporates both</w:t>
      </w:r>
      <w:r w:rsidRPr="00881D4D">
        <w:rPr>
          <w:rStyle w:val="apple-converted-space"/>
          <w:rFonts w:eastAsiaTheme="majorEastAsia"/>
          <w:color w:val="000000"/>
        </w:rPr>
        <w:t> </w:t>
      </w:r>
      <w:r w:rsidRPr="00881D4D">
        <w:rPr>
          <w:rStyle w:val="Strong"/>
          <w:rFonts w:eastAsiaTheme="majorEastAsia"/>
          <w:b w:val="0"/>
          <w:bCs w:val="0"/>
          <w:color w:val="000000"/>
        </w:rPr>
        <w:t>self-attention</w:t>
      </w:r>
      <w:r w:rsidRPr="00881D4D">
        <w:rPr>
          <w:rStyle w:val="apple-converted-space"/>
          <w:rFonts w:eastAsiaTheme="majorEastAsia"/>
          <w:color w:val="000000"/>
        </w:rPr>
        <w:t> </w:t>
      </w:r>
      <w:r w:rsidRPr="00881D4D">
        <w:rPr>
          <w:color w:val="000000"/>
        </w:rPr>
        <w:t>(to learn relationships among features within a sample) and</w:t>
      </w:r>
      <w:r w:rsidRPr="00881D4D">
        <w:rPr>
          <w:rStyle w:val="apple-converted-space"/>
          <w:rFonts w:eastAsiaTheme="majorEastAsia"/>
          <w:color w:val="000000"/>
        </w:rPr>
        <w:t> </w:t>
      </w:r>
      <w:proofErr w:type="spellStart"/>
      <w:r w:rsidRPr="00881D4D">
        <w:rPr>
          <w:rStyle w:val="Strong"/>
          <w:rFonts w:eastAsiaTheme="majorEastAsia"/>
          <w:b w:val="0"/>
          <w:bCs w:val="0"/>
          <w:color w:val="000000"/>
        </w:rPr>
        <w:t>intersample</w:t>
      </w:r>
      <w:proofErr w:type="spellEnd"/>
      <w:r w:rsidRPr="00881D4D">
        <w:rPr>
          <w:rStyle w:val="Strong"/>
          <w:rFonts w:eastAsiaTheme="majorEastAsia"/>
          <w:b w:val="0"/>
          <w:bCs w:val="0"/>
          <w:color w:val="000000"/>
        </w:rPr>
        <w:t xml:space="preserve"> attention</w:t>
      </w:r>
      <w:r w:rsidRPr="00881D4D">
        <w:rPr>
          <w:rStyle w:val="apple-converted-space"/>
          <w:rFonts w:eastAsiaTheme="majorEastAsia"/>
          <w:b/>
          <w:bCs/>
          <w:color w:val="000000"/>
        </w:rPr>
        <w:t> </w:t>
      </w:r>
      <w:r w:rsidRPr="00881D4D">
        <w:rPr>
          <w:color w:val="000000"/>
        </w:rPr>
        <w:t>(to capture dependencies across different samples). This dual attention mechanism allows SAINT to extract complex patterns that may not be evident through decision tree approaches. The model is capable of automatically learning hierarchical feature interactions, which is valuable in concrete datasets where microstructural and material-level effects combine. In this work, SAINT generalized strongly on the testing dataset (R² = 0.784, VAF = 77.18%), despite slightly lower training accuracy, showing its strength in avoiding overfitting and capturing global feature dependencies.</w:t>
      </w:r>
    </w:p>
    <w:p w14:paraId="514FDA08" w14:textId="77777777" w:rsidR="00591AF7" w:rsidRPr="00881D4D" w:rsidRDefault="00591AF7" w:rsidP="00591AF7">
      <w:pPr>
        <w:pStyle w:val="Heading4"/>
        <w:spacing w:after="0" w:line="360" w:lineRule="auto"/>
        <w:jc w:val="both"/>
        <w:rPr>
          <w:rFonts w:ascii="Times New Roman" w:hAnsi="Times New Roman" w:cs="Times New Roman"/>
          <w:color w:val="000000"/>
          <w:sz w:val="24"/>
          <w:szCs w:val="24"/>
        </w:rPr>
      </w:pPr>
    </w:p>
    <w:p w14:paraId="2A797C99" w14:textId="46092F87"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2.3.3 </w:t>
      </w:r>
      <w:proofErr w:type="spellStart"/>
      <w:r w:rsidR="00591AF7" w:rsidRPr="00881D4D">
        <w:rPr>
          <w:rFonts w:ascii="Times New Roman" w:hAnsi="Times New Roman" w:cs="Times New Roman"/>
          <w:color w:val="000000"/>
          <w:sz w:val="24"/>
          <w:szCs w:val="24"/>
        </w:rPr>
        <w:t>TabNet</w:t>
      </w:r>
      <w:proofErr w:type="spellEnd"/>
    </w:p>
    <w:p w14:paraId="11ADBD78" w14:textId="77777777" w:rsidR="00591AF7" w:rsidRPr="00881D4D" w:rsidRDefault="00591AF7" w:rsidP="00591AF7">
      <w:pPr>
        <w:pStyle w:val="NormalWeb"/>
        <w:spacing w:before="0" w:beforeAutospacing="0" w:after="0" w:afterAutospacing="0" w:line="360" w:lineRule="auto"/>
        <w:ind w:firstLine="720"/>
        <w:jc w:val="both"/>
        <w:rPr>
          <w:color w:val="000000"/>
        </w:rPr>
      </w:pPr>
      <w:proofErr w:type="spellStart"/>
      <w:r w:rsidRPr="00881D4D">
        <w:rPr>
          <w:color w:val="000000"/>
        </w:rPr>
        <w:t>TabNet</w:t>
      </w:r>
      <w:proofErr w:type="spellEnd"/>
      <w:r w:rsidRPr="00881D4D">
        <w:rPr>
          <w:color w:val="000000"/>
        </w:rPr>
        <w:t xml:space="preserve"> is a deep learning framework specifically developed for structured tabular datasets. It employs a</w:t>
      </w:r>
      <w:r w:rsidRPr="00881D4D">
        <w:rPr>
          <w:rStyle w:val="apple-converted-space"/>
          <w:rFonts w:eastAsiaTheme="majorEastAsia"/>
          <w:color w:val="000000"/>
        </w:rPr>
        <w:t> </w:t>
      </w:r>
      <w:r w:rsidRPr="00881D4D">
        <w:rPr>
          <w:rStyle w:val="Strong"/>
          <w:rFonts w:eastAsiaTheme="majorEastAsia"/>
          <w:b w:val="0"/>
          <w:bCs w:val="0"/>
          <w:color w:val="000000"/>
        </w:rPr>
        <w:t>sequential attention mechanism</w:t>
      </w:r>
      <w:r w:rsidRPr="00881D4D">
        <w:rPr>
          <w:rStyle w:val="apple-converted-space"/>
          <w:rFonts w:eastAsiaTheme="majorEastAsia"/>
          <w:b/>
          <w:bCs/>
          <w:color w:val="000000"/>
        </w:rPr>
        <w:t> </w:t>
      </w:r>
      <w:r w:rsidRPr="00881D4D">
        <w:rPr>
          <w:color w:val="000000"/>
        </w:rPr>
        <w:t xml:space="preserve">to focus on the most relevant features at each decision step, mimicking the way a human expert would analyze data by selectively attending to key inputs. </w:t>
      </w:r>
      <w:proofErr w:type="spellStart"/>
      <w:r w:rsidRPr="00881D4D">
        <w:rPr>
          <w:color w:val="000000"/>
        </w:rPr>
        <w:t>TabNet</w:t>
      </w:r>
      <w:proofErr w:type="spellEnd"/>
      <w:r w:rsidRPr="00881D4D">
        <w:rPr>
          <w:color w:val="000000"/>
        </w:rPr>
        <w:t xml:space="preserve"> uses interpretable masks that highlight feature importance during training, making it both accurate and explainable. This model is well-suited for concrete research because it can identify how specific features, such as BMWA content or early-age compressive strength, dominate predictions at different stages. In this study, </w:t>
      </w:r>
      <w:proofErr w:type="spellStart"/>
      <w:r w:rsidRPr="00881D4D">
        <w:rPr>
          <w:color w:val="000000"/>
        </w:rPr>
        <w:t>TabNet</w:t>
      </w:r>
      <w:proofErr w:type="spellEnd"/>
      <w:r w:rsidRPr="00881D4D">
        <w:rPr>
          <w:color w:val="000000"/>
        </w:rPr>
        <w:t xml:space="preserve"> achieved performance comparable to Random Forest (training R² = 0.82, RMSE = 0.185 MPa), and its interpretability features aligned with the study’s objective of linking BMWA content to strength reductions.</w:t>
      </w:r>
    </w:p>
    <w:p w14:paraId="514A6DCC" w14:textId="1B83F005" w:rsidR="00591AF7" w:rsidRPr="00881D4D" w:rsidRDefault="007D791E" w:rsidP="00591AF7">
      <w:pPr>
        <w:pStyle w:val="Heading4"/>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2.3.4 </w:t>
      </w:r>
      <w:r w:rsidR="00591AF7" w:rsidRPr="00881D4D">
        <w:rPr>
          <w:rFonts w:ascii="Times New Roman" w:hAnsi="Times New Roman" w:cs="Times New Roman"/>
          <w:color w:val="000000"/>
          <w:sz w:val="24"/>
          <w:szCs w:val="24"/>
        </w:rPr>
        <w:t>Ensemble Model</w:t>
      </w:r>
    </w:p>
    <w:p w14:paraId="70A01726" w14:textId="1A2147D2" w:rsidR="00591AF7" w:rsidRPr="00881D4D" w:rsidRDefault="00591AF7" w:rsidP="00591AF7">
      <w:pPr>
        <w:pStyle w:val="NormalWeb"/>
        <w:spacing w:before="0" w:beforeAutospacing="0" w:after="0" w:afterAutospacing="0" w:line="360" w:lineRule="auto"/>
        <w:ind w:firstLine="720"/>
        <w:jc w:val="both"/>
        <w:rPr>
          <w:color w:val="000000"/>
        </w:rPr>
      </w:pPr>
      <w:r w:rsidRPr="00881D4D">
        <w:rPr>
          <w:color w:val="000000"/>
        </w:rPr>
        <w:t xml:space="preserve">The Ensemble model combined predictions from the base learners (Random Forest, SAINT, </w:t>
      </w:r>
      <w:proofErr w:type="spellStart"/>
      <w:r w:rsidRPr="00881D4D">
        <w:rPr>
          <w:color w:val="000000"/>
        </w:rPr>
        <w:t>TabNet</w:t>
      </w:r>
      <w:proofErr w:type="spellEnd"/>
      <w:r w:rsidRPr="00881D4D">
        <w:rPr>
          <w:color w:val="000000"/>
        </w:rPr>
        <w:t xml:space="preserve">) using averaging. The rationale was that aggregating multiple learners could improve stability and reduce variance, as ensemble methods often outperform single models. However, in this dataset, the averaging effect diluted the strong performance of RF and </w:t>
      </w:r>
      <w:proofErr w:type="spellStart"/>
      <w:r w:rsidRPr="00881D4D">
        <w:rPr>
          <w:color w:val="000000"/>
        </w:rPr>
        <w:t>TabNet</w:t>
      </w:r>
      <w:proofErr w:type="spellEnd"/>
      <w:r w:rsidRPr="00881D4D">
        <w:rPr>
          <w:color w:val="000000"/>
        </w:rPr>
        <w:t>, resulting in weaker outcomes (training R² = 0.724, testing R² = 0.713). Despite its relatively lower accuracy, including the Ensemble was methodologically important as it allowed confirmation that ensembling was not advantageous for this specific application. This highlights that in specialized materials datasets</w:t>
      </w:r>
      <w:r w:rsidR="007D791E">
        <w:rPr>
          <w:color w:val="000000"/>
        </w:rPr>
        <w:t>,</w:t>
      </w:r>
      <w:r w:rsidRPr="00881D4D">
        <w:rPr>
          <w:color w:val="000000"/>
        </w:rPr>
        <w:t xml:space="preserve"> strong standalone learners may outperform hybridized combinations.</w:t>
      </w:r>
    </w:p>
    <w:p w14:paraId="490A4893" w14:textId="77777777" w:rsidR="00881D4D" w:rsidRPr="00881D4D" w:rsidRDefault="00881D4D" w:rsidP="00591AF7">
      <w:pPr>
        <w:pStyle w:val="NormalWeb"/>
        <w:spacing w:before="0" w:beforeAutospacing="0" w:after="0" w:afterAutospacing="0" w:line="360" w:lineRule="auto"/>
        <w:ind w:firstLine="720"/>
        <w:jc w:val="both"/>
        <w:rPr>
          <w:color w:val="000000"/>
        </w:rPr>
      </w:pPr>
    </w:p>
    <w:p w14:paraId="1DF401E4" w14:textId="123DF582" w:rsidR="00881D4D" w:rsidRPr="007D791E" w:rsidRDefault="007D791E" w:rsidP="00881D4D">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2.4 </w:t>
      </w:r>
      <w:r w:rsidR="00881D4D" w:rsidRPr="007D791E">
        <w:rPr>
          <w:rFonts w:ascii="Times New Roman" w:hAnsi="Times New Roman" w:cs="Times New Roman"/>
          <w:i/>
          <w:iCs/>
          <w:sz w:val="24"/>
          <w:szCs w:val="24"/>
        </w:rPr>
        <w:t>Performance Evaluation</w:t>
      </w:r>
    </w:p>
    <w:p w14:paraId="34F93C81" w14:textId="7FF1E155" w:rsidR="00881D4D" w:rsidRDefault="00881D4D" w:rsidP="00881D4D">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To ensure a comprehensive assessment of predictive capability, multiple statistical metrics were adopted rather than relying on a single indicator. The coefficient of determination (R²) measured the proportion of variance in the experimental strength data explained by the models. The root mean square error (RMSE) and mean absolute error (MAE)quantified the deviation between predicted and observed values, with lower values reflecting greater accuracy. The weighted mean absolute percentage error (WMAPE) expressed errors as a percentage, offering practical interpretability for engineering applications. Additional indices such as Nash–Sutcliffe efficiency (NS), variance accounted for (VAF), and relative standard error ratio (RSR) were included to evaluate model stability and robustness. Finally, the linear model index (LMI) served as a consistency check for linearity between predicted and experimental values. Together, this multi-metric framework ensured a balanced evaluation of </w:t>
      </w:r>
      <w:r w:rsidR="007D791E">
        <w:rPr>
          <w:rFonts w:ascii="Times New Roman" w:hAnsi="Times New Roman" w:cs="Times New Roman"/>
          <w:sz w:val="24"/>
          <w:szCs w:val="24"/>
        </w:rPr>
        <w:t xml:space="preserve">the </w:t>
      </w:r>
      <w:r w:rsidRPr="00881D4D">
        <w:rPr>
          <w:rFonts w:ascii="Times New Roman" w:hAnsi="Times New Roman" w:cs="Times New Roman"/>
          <w:sz w:val="24"/>
          <w:szCs w:val="24"/>
        </w:rPr>
        <w:t>accuracy, precision, and reliability of predictions.</w:t>
      </w:r>
    </w:p>
    <w:p w14:paraId="01521F33" w14:textId="77777777" w:rsidR="00881D4D" w:rsidRPr="00881D4D" w:rsidRDefault="00881D4D" w:rsidP="00881D4D">
      <w:pPr>
        <w:spacing w:after="0" w:line="360" w:lineRule="auto"/>
        <w:ind w:firstLine="720"/>
        <w:jc w:val="both"/>
        <w:rPr>
          <w:rFonts w:ascii="Times New Roman" w:hAnsi="Times New Roman" w:cs="Times New Roman"/>
          <w:sz w:val="24"/>
          <w:szCs w:val="24"/>
        </w:rPr>
      </w:pPr>
    </w:p>
    <w:p w14:paraId="17E5515F" w14:textId="1B9D428E" w:rsidR="00881D4D" w:rsidRPr="007D791E" w:rsidRDefault="007D791E" w:rsidP="00881D4D">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2.5 </w:t>
      </w:r>
      <w:r w:rsidR="00881D4D" w:rsidRPr="007D791E">
        <w:rPr>
          <w:rFonts w:ascii="Times New Roman" w:hAnsi="Times New Roman" w:cs="Times New Roman"/>
          <w:i/>
          <w:iCs/>
          <w:sz w:val="24"/>
          <w:szCs w:val="24"/>
        </w:rPr>
        <w:t>Hyperparameter Selection</w:t>
      </w:r>
    </w:p>
    <w:p w14:paraId="536F575E" w14:textId="4C8BEA7B" w:rsidR="00881D4D" w:rsidRDefault="00881D4D" w:rsidP="00881D4D">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Optimal hyperparameters were identified through systematic tuning for each model. For Random Forest, the number of estimators (trees), maximum depth, and minimum samples per split were varied to balance bias and variance, with the final configuration (</w:t>
      </w:r>
      <w:proofErr w:type="spellStart"/>
      <w:r w:rsidRPr="00881D4D">
        <w:rPr>
          <w:rFonts w:ascii="Times New Roman" w:hAnsi="Times New Roman" w:cs="Times New Roman"/>
          <w:sz w:val="24"/>
          <w:szCs w:val="24"/>
        </w:rPr>
        <w:t>n_estimators</w:t>
      </w:r>
      <w:proofErr w:type="spellEnd"/>
      <w:r w:rsidRPr="00881D4D">
        <w:rPr>
          <w:rFonts w:ascii="Times New Roman" w:hAnsi="Times New Roman" w:cs="Times New Roman"/>
          <w:sz w:val="24"/>
          <w:szCs w:val="24"/>
        </w:rPr>
        <w:t xml:space="preserve"> = 200, </w:t>
      </w:r>
      <w:proofErr w:type="spellStart"/>
      <w:r w:rsidRPr="00881D4D">
        <w:rPr>
          <w:rFonts w:ascii="Times New Roman" w:hAnsi="Times New Roman" w:cs="Times New Roman"/>
          <w:sz w:val="24"/>
          <w:szCs w:val="24"/>
        </w:rPr>
        <w:t>max_depth</w:t>
      </w:r>
      <w:proofErr w:type="spellEnd"/>
      <w:r w:rsidRPr="00881D4D">
        <w:rPr>
          <w:rFonts w:ascii="Times New Roman" w:hAnsi="Times New Roman" w:cs="Times New Roman"/>
          <w:sz w:val="24"/>
          <w:szCs w:val="24"/>
        </w:rPr>
        <w:t xml:space="preserve"> = 10, </w:t>
      </w:r>
      <w:proofErr w:type="spellStart"/>
      <w:r w:rsidRPr="00881D4D">
        <w:rPr>
          <w:rFonts w:ascii="Times New Roman" w:hAnsi="Times New Roman" w:cs="Times New Roman"/>
          <w:sz w:val="24"/>
          <w:szCs w:val="24"/>
        </w:rPr>
        <w:t>min_samples_split</w:t>
      </w:r>
      <w:proofErr w:type="spellEnd"/>
      <w:r w:rsidRPr="00881D4D">
        <w:rPr>
          <w:rFonts w:ascii="Times New Roman" w:hAnsi="Times New Roman" w:cs="Times New Roman"/>
          <w:sz w:val="24"/>
          <w:szCs w:val="24"/>
        </w:rPr>
        <w:t xml:space="preserve"> = 2) producing stable predictions. For SAINT, the number of attention heads, transformer layers, and embedding dimension were tuned to minimize RMSE without overfitting.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required optimization of decision steps, relaxation factor, and learning rate; the tuned configuration ensured efficient sequential attention while maintaining interpretability. The Ensemble model was constructed by </w:t>
      </w:r>
      <w:r w:rsidRPr="00881D4D">
        <w:rPr>
          <w:rFonts w:ascii="Times New Roman" w:hAnsi="Times New Roman" w:cs="Times New Roman"/>
          <w:sz w:val="24"/>
          <w:szCs w:val="24"/>
        </w:rPr>
        <w:lastRenderedPageBreak/>
        <w:t>averaging predictions from the tuned base learners. Hyperparameter tuning was conducted iteratively using grid search and random search approaches, guided by validation performance. This process ensured that each algorithm was evaluated under its most competitive setting for the given dataset.</w:t>
      </w:r>
      <w:r>
        <w:rPr>
          <w:rFonts w:ascii="Times New Roman" w:hAnsi="Times New Roman" w:cs="Times New Roman"/>
          <w:sz w:val="24"/>
          <w:szCs w:val="24"/>
        </w:rPr>
        <w:t xml:space="preserve"> </w:t>
      </w:r>
      <w:r w:rsidRPr="00881D4D">
        <w:rPr>
          <w:rFonts w:ascii="Times New Roman" w:hAnsi="Times New Roman" w:cs="Times New Roman"/>
          <w:color w:val="000000"/>
          <w:sz w:val="24"/>
          <w:szCs w:val="24"/>
        </w:rPr>
        <w:t>Table</w:t>
      </w:r>
      <w:r>
        <w:rPr>
          <w:rFonts w:ascii="Times New Roman" w:hAnsi="Times New Roman" w:cs="Times New Roman"/>
          <w:color w:val="000000"/>
          <w:sz w:val="24"/>
          <w:szCs w:val="24"/>
        </w:rPr>
        <w:t xml:space="preserve"> 1 shows </w:t>
      </w:r>
      <w:r w:rsidRPr="00881D4D">
        <w:rPr>
          <w:rFonts w:ascii="Times New Roman" w:hAnsi="Times New Roman" w:cs="Times New Roman"/>
          <w:color w:val="000000"/>
          <w:sz w:val="24"/>
          <w:szCs w:val="24"/>
        </w:rPr>
        <w:t xml:space="preserve">the hyperparameter tuning process for all four models, showing the search ranges explored, the optimized values, and the strategies used. Random Forest and </w:t>
      </w:r>
      <w:proofErr w:type="spellStart"/>
      <w:r w:rsidRPr="00881D4D">
        <w:rPr>
          <w:rFonts w:ascii="Times New Roman" w:hAnsi="Times New Roman" w:cs="Times New Roman"/>
          <w:color w:val="000000"/>
          <w:sz w:val="24"/>
          <w:szCs w:val="24"/>
        </w:rPr>
        <w:t>TabNet</w:t>
      </w:r>
      <w:proofErr w:type="spellEnd"/>
      <w:r w:rsidRPr="00881D4D">
        <w:rPr>
          <w:rFonts w:ascii="Times New Roman" w:hAnsi="Times New Roman" w:cs="Times New Roman"/>
          <w:color w:val="000000"/>
          <w:sz w:val="24"/>
          <w:szCs w:val="24"/>
        </w:rPr>
        <w:t xml:space="preserve"> were tuned mainly with grid search, while SAINT relied on random search to handle its larger parameter space. The Ensemble was finalized through manual selection, confirming that a simple average of RF, SAINT, and </w:t>
      </w:r>
      <w:proofErr w:type="spellStart"/>
      <w:r w:rsidRPr="00881D4D">
        <w:rPr>
          <w:rFonts w:ascii="Times New Roman" w:hAnsi="Times New Roman" w:cs="Times New Roman"/>
          <w:color w:val="000000"/>
          <w:sz w:val="24"/>
          <w:szCs w:val="24"/>
        </w:rPr>
        <w:t>TabNet</w:t>
      </w:r>
      <w:proofErr w:type="spellEnd"/>
      <w:r w:rsidRPr="00881D4D">
        <w:rPr>
          <w:rFonts w:ascii="Times New Roman" w:hAnsi="Times New Roman" w:cs="Times New Roman"/>
          <w:color w:val="000000"/>
          <w:sz w:val="24"/>
          <w:szCs w:val="24"/>
        </w:rPr>
        <w:t xml:space="preserve"> produced the most stable predictions.</w:t>
      </w:r>
    </w:p>
    <w:p w14:paraId="1B7DDF02" w14:textId="77777777" w:rsidR="00881D4D" w:rsidRPr="00881D4D" w:rsidRDefault="00881D4D" w:rsidP="00881D4D">
      <w:pPr>
        <w:jc w:val="center"/>
        <w:rPr>
          <w:rFonts w:ascii="Times New Roman" w:hAnsi="Times New Roman" w:cs="Times New Roman"/>
          <w:sz w:val="24"/>
          <w:szCs w:val="24"/>
        </w:rPr>
      </w:pPr>
      <w:r w:rsidRPr="00881D4D">
        <w:rPr>
          <w:rFonts w:ascii="Times New Roman" w:hAnsi="Times New Roman" w:cs="Times New Roman"/>
          <w:color w:val="000000"/>
          <w:sz w:val="24"/>
          <w:szCs w:val="24"/>
        </w:rPr>
        <w:t xml:space="preserve">Table 1: Hyperparameter tuning details and final configurations </w:t>
      </w:r>
    </w:p>
    <w:tbl>
      <w:tblPr>
        <w:tblStyle w:val="TableGrid"/>
        <w:tblW w:w="9900" w:type="dxa"/>
        <w:tblInd w:w="-365" w:type="dxa"/>
        <w:tblLook w:val="04A0" w:firstRow="1" w:lastRow="0" w:firstColumn="1" w:lastColumn="0" w:noHBand="0" w:noVBand="1"/>
      </w:tblPr>
      <w:tblGrid>
        <w:gridCol w:w="1440"/>
        <w:gridCol w:w="2790"/>
        <w:gridCol w:w="2520"/>
        <w:gridCol w:w="1516"/>
        <w:gridCol w:w="1634"/>
      </w:tblGrid>
      <w:tr w:rsidR="00881D4D" w:rsidRPr="00881D4D" w14:paraId="393AC14A" w14:textId="77777777" w:rsidTr="00FD19DA">
        <w:tc>
          <w:tcPr>
            <w:tcW w:w="1440" w:type="dxa"/>
            <w:vAlign w:val="center"/>
            <w:hideMark/>
          </w:tcPr>
          <w:p w14:paraId="46E1164F"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Model</w:t>
            </w:r>
          </w:p>
        </w:tc>
        <w:tc>
          <w:tcPr>
            <w:tcW w:w="2790" w:type="dxa"/>
            <w:hideMark/>
          </w:tcPr>
          <w:p w14:paraId="4421B296"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Hyperparameter</w:t>
            </w:r>
          </w:p>
        </w:tc>
        <w:tc>
          <w:tcPr>
            <w:tcW w:w="2520" w:type="dxa"/>
            <w:hideMark/>
          </w:tcPr>
          <w:p w14:paraId="5BCCEED2"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Search Range Explored</w:t>
            </w:r>
          </w:p>
        </w:tc>
        <w:tc>
          <w:tcPr>
            <w:tcW w:w="1516" w:type="dxa"/>
            <w:hideMark/>
          </w:tcPr>
          <w:p w14:paraId="5FF2CF52"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Optimized Value</w:t>
            </w:r>
          </w:p>
        </w:tc>
        <w:tc>
          <w:tcPr>
            <w:tcW w:w="1634" w:type="dxa"/>
            <w:hideMark/>
          </w:tcPr>
          <w:p w14:paraId="01085F40" w14:textId="77777777" w:rsidR="00881D4D" w:rsidRPr="00881D4D" w:rsidRDefault="00881D4D" w:rsidP="00FD19DA">
            <w:pPr>
              <w:spacing w:line="360" w:lineRule="auto"/>
              <w:jc w:val="center"/>
              <w:rPr>
                <w:rFonts w:ascii="Times New Roman" w:eastAsia="Times New Roman" w:hAnsi="Times New Roman" w:cs="Times New Roman"/>
                <w:b/>
                <w:bCs/>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Tuning Strategy</w:t>
            </w:r>
          </w:p>
        </w:tc>
      </w:tr>
      <w:tr w:rsidR="00881D4D" w:rsidRPr="00881D4D" w14:paraId="4A065D3A" w14:textId="77777777" w:rsidTr="00FD19DA">
        <w:tc>
          <w:tcPr>
            <w:tcW w:w="1440" w:type="dxa"/>
            <w:vMerge w:val="restart"/>
            <w:vAlign w:val="center"/>
            <w:hideMark/>
          </w:tcPr>
          <w:p w14:paraId="1E15FFB7"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Random Forest</w:t>
            </w:r>
          </w:p>
        </w:tc>
        <w:tc>
          <w:tcPr>
            <w:tcW w:w="2790" w:type="dxa"/>
            <w:vAlign w:val="center"/>
            <w:hideMark/>
          </w:tcPr>
          <w:p w14:paraId="4CFFC787"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Number of estimators (</w:t>
            </w:r>
            <w:proofErr w:type="spellStart"/>
            <w:r w:rsidRPr="00881D4D">
              <w:rPr>
                <w:rFonts w:ascii="Times New Roman" w:eastAsia="Times New Roman" w:hAnsi="Times New Roman" w:cs="Times New Roman"/>
                <w:color w:val="000000"/>
                <w:kern w:val="0"/>
                <w:sz w:val="24"/>
                <w:szCs w:val="24"/>
                <w:lang w:val="en-US"/>
                <w14:ligatures w14:val="none"/>
              </w:rPr>
              <w:t>n_estimators</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2520" w:type="dxa"/>
            <w:vAlign w:val="center"/>
            <w:hideMark/>
          </w:tcPr>
          <w:p w14:paraId="0B965AC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50 – 500 (step 50)</w:t>
            </w:r>
          </w:p>
        </w:tc>
        <w:tc>
          <w:tcPr>
            <w:tcW w:w="1516" w:type="dxa"/>
            <w:vAlign w:val="center"/>
            <w:hideMark/>
          </w:tcPr>
          <w:p w14:paraId="2225BB9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200</w:t>
            </w:r>
          </w:p>
        </w:tc>
        <w:tc>
          <w:tcPr>
            <w:tcW w:w="1634" w:type="dxa"/>
            <w:vAlign w:val="center"/>
            <w:hideMark/>
          </w:tcPr>
          <w:p w14:paraId="1C998EC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734D05B2" w14:textId="77777777" w:rsidTr="00FD19DA">
        <w:tc>
          <w:tcPr>
            <w:tcW w:w="1440" w:type="dxa"/>
            <w:vMerge/>
            <w:vAlign w:val="center"/>
            <w:hideMark/>
          </w:tcPr>
          <w:p w14:paraId="71334F1C"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586EEB9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Maximum depth (</w:t>
            </w:r>
            <w:proofErr w:type="spellStart"/>
            <w:r w:rsidRPr="00881D4D">
              <w:rPr>
                <w:rFonts w:ascii="Times New Roman" w:eastAsia="Times New Roman" w:hAnsi="Times New Roman" w:cs="Times New Roman"/>
                <w:color w:val="000000"/>
                <w:kern w:val="0"/>
                <w:sz w:val="24"/>
                <w:szCs w:val="24"/>
                <w:lang w:val="en-US"/>
                <w14:ligatures w14:val="none"/>
              </w:rPr>
              <w:t>max_depth</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2520" w:type="dxa"/>
            <w:vAlign w:val="center"/>
            <w:hideMark/>
          </w:tcPr>
          <w:p w14:paraId="3250FAD0"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5 – 20</w:t>
            </w:r>
          </w:p>
        </w:tc>
        <w:tc>
          <w:tcPr>
            <w:tcW w:w="1516" w:type="dxa"/>
            <w:vAlign w:val="center"/>
            <w:hideMark/>
          </w:tcPr>
          <w:p w14:paraId="67B2DA2C"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10</w:t>
            </w:r>
          </w:p>
        </w:tc>
        <w:tc>
          <w:tcPr>
            <w:tcW w:w="1634" w:type="dxa"/>
            <w:vAlign w:val="center"/>
            <w:hideMark/>
          </w:tcPr>
          <w:p w14:paraId="5368B74E"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64B2EC2F" w14:textId="77777777" w:rsidTr="00FD19DA">
        <w:tc>
          <w:tcPr>
            <w:tcW w:w="1440" w:type="dxa"/>
            <w:vMerge/>
            <w:vAlign w:val="center"/>
            <w:hideMark/>
          </w:tcPr>
          <w:p w14:paraId="6CE0801D"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7B9FBB83"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Minimum samples per split</w:t>
            </w:r>
          </w:p>
        </w:tc>
        <w:tc>
          <w:tcPr>
            <w:tcW w:w="2520" w:type="dxa"/>
            <w:vAlign w:val="center"/>
            <w:hideMark/>
          </w:tcPr>
          <w:p w14:paraId="39E98ED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 – 10</w:t>
            </w:r>
          </w:p>
        </w:tc>
        <w:tc>
          <w:tcPr>
            <w:tcW w:w="1516" w:type="dxa"/>
            <w:vAlign w:val="center"/>
            <w:hideMark/>
          </w:tcPr>
          <w:p w14:paraId="5019D0DB"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w:t>
            </w:r>
          </w:p>
        </w:tc>
        <w:tc>
          <w:tcPr>
            <w:tcW w:w="1634" w:type="dxa"/>
            <w:vAlign w:val="center"/>
            <w:hideMark/>
          </w:tcPr>
          <w:p w14:paraId="096E39F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1B25B13D" w14:textId="77777777" w:rsidTr="00FD19DA">
        <w:tc>
          <w:tcPr>
            <w:tcW w:w="1440" w:type="dxa"/>
            <w:vMerge w:val="restart"/>
            <w:vAlign w:val="center"/>
            <w:hideMark/>
          </w:tcPr>
          <w:p w14:paraId="3F1BA20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SAINT</w:t>
            </w:r>
          </w:p>
        </w:tc>
        <w:tc>
          <w:tcPr>
            <w:tcW w:w="2790" w:type="dxa"/>
            <w:vAlign w:val="center"/>
            <w:hideMark/>
          </w:tcPr>
          <w:p w14:paraId="222420BE"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Attention heads</w:t>
            </w:r>
          </w:p>
        </w:tc>
        <w:tc>
          <w:tcPr>
            <w:tcW w:w="2520" w:type="dxa"/>
            <w:vAlign w:val="center"/>
            <w:hideMark/>
          </w:tcPr>
          <w:p w14:paraId="5F08DAF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 – 12</w:t>
            </w:r>
          </w:p>
        </w:tc>
        <w:tc>
          <w:tcPr>
            <w:tcW w:w="1516" w:type="dxa"/>
            <w:vAlign w:val="center"/>
            <w:hideMark/>
          </w:tcPr>
          <w:p w14:paraId="71C4E33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8</w:t>
            </w:r>
          </w:p>
        </w:tc>
        <w:tc>
          <w:tcPr>
            <w:tcW w:w="1634" w:type="dxa"/>
            <w:vAlign w:val="center"/>
            <w:hideMark/>
          </w:tcPr>
          <w:p w14:paraId="294D724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010B56EF" w14:textId="77777777" w:rsidTr="00FD19DA">
        <w:tc>
          <w:tcPr>
            <w:tcW w:w="1440" w:type="dxa"/>
            <w:vMerge/>
            <w:vAlign w:val="center"/>
            <w:hideMark/>
          </w:tcPr>
          <w:p w14:paraId="100D216B"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62C7B87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Transformer layers</w:t>
            </w:r>
          </w:p>
        </w:tc>
        <w:tc>
          <w:tcPr>
            <w:tcW w:w="2520" w:type="dxa"/>
            <w:vAlign w:val="center"/>
            <w:hideMark/>
          </w:tcPr>
          <w:p w14:paraId="22FBDE8F"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2 – 10</w:t>
            </w:r>
          </w:p>
        </w:tc>
        <w:tc>
          <w:tcPr>
            <w:tcW w:w="1516" w:type="dxa"/>
            <w:vAlign w:val="center"/>
            <w:hideMark/>
          </w:tcPr>
          <w:p w14:paraId="3395D211"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6</w:t>
            </w:r>
          </w:p>
        </w:tc>
        <w:tc>
          <w:tcPr>
            <w:tcW w:w="1634" w:type="dxa"/>
            <w:vAlign w:val="center"/>
            <w:hideMark/>
          </w:tcPr>
          <w:p w14:paraId="15A89FE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052E4676" w14:textId="77777777" w:rsidTr="00FD19DA">
        <w:tc>
          <w:tcPr>
            <w:tcW w:w="1440" w:type="dxa"/>
            <w:vMerge/>
            <w:vAlign w:val="center"/>
            <w:hideMark/>
          </w:tcPr>
          <w:p w14:paraId="2B12C58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0A307017"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Embedding dimension</w:t>
            </w:r>
          </w:p>
        </w:tc>
        <w:tc>
          <w:tcPr>
            <w:tcW w:w="2520" w:type="dxa"/>
            <w:vAlign w:val="center"/>
            <w:hideMark/>
          </w:tcPr>
          <w:p w14:paraId="7F48C921"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32 – 128 (step 16)</w:t>
            </w:r>
          </w:p>
        </w:tc>
        <w:tc>
          <w:tcPr>
            <w:tcW w:w="1516" w:type="dxa"/>
            <w:vAlign w:val="center"/>
            <w:hideMark/>
          </w:tcPr>
          <w:p w14:paraId="2658E3F9"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64</w:t>
            </w:r>
          </w:p>
        </w:tc>
        <w:tc>
          <w:tcPr>
            <w:tcW w:w="1634" w:type="dxa"/>
            <w:vAlign w:val="center"/>
            <w:hideMark/>
          </w:tcPr>
          <w:p w14:paraId="3B2E959C"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1B42E688" w14:textId="77777777" w:rsidTr="00FD19DA">
        <w:tc>
          <w:tcPr>
            <w:tcW w:w="1440" w:type="dxa"/>
            <w:vMerge w:val="restart"/>
            <w:vAlign w:val="center"/>
            <w:hideMark/>
          </w:tcPr>
          <w:p w14:paraId="5B51C69A"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881D4D">
              <w:rPr>
                <w:rFonts w:ascii="Times New Roman" w:eastAsia="Times New Roman" w:hAnsi="Times New Roman" w:cs="Times New Roman"/>
                <w:b/>
                <w:bCs/>
                <w:color w:val="000000"/>
                <w:kern w:val="0"/>
                <w:sz w:val="24"/>
                <w:szCs w:val="24"/>
                <w:lang w:val="en-US"/>
                <w14:ligatures w14:val="none"/>
              </w:rPr>
              <w:t>TabNet</w:t>
            </w:r>
            <w:proofErr w:type="spellEnd"/>
          </w:p>
        </w:tc>
        <w:tc>
          <w:tcPr>
            <w:tcW w:w="2790" w:type="dxa"/>
            <w:vAlign w:val="center"/>
            <w:hideMark/>
          </w:tcPr>
          <w:p w14:paraId="6B3CE273"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Decision steps (</w:t>
            </w:r>
            <w:proofErr w:type="spellStart"/>
            <w:r w:rsidRPr="00881D4D">
              <w:rPr>
                <w:rFonts w:ascii="Times New Roman" w:eastAsia="Times New Roman" w:hAnsi="Times New Roman" w:cs="Times New Roman"/>
                <w:color w:val="000000"/>
                <w:kern w:val="0"/>
                <w:sz w:val="24"/>
                <w:szCs w:val="24"/>
                <w:lang w:val="en-US"/>
                <w14:ligatures w14:val="none"/>
              </w:rPr>
              <w:t>n_steps</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2520" w:type="dxa"/>
            <w:vAlign w:val="center"/>
            <w:hideMark/>
          </w:tcPr>
          <w:p w14:paraId="19C8542F"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3 – 10</w:t>
            </w:r>
          </w:p>
        </w:tc>
        <w:tc>
          <w:tcPr>
            <w:tcW w:w="1516" w:type="dxa"/>
            <w:vAlign w:val="center"/>
            <w:hideMark/>
          </w:tcPr>
          <w:p w14:paraId="35525309"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5</w:t>
            </w:r>
          </w:p>
        </w:tc>
        <w:tc>
          <w:tcPr>
            <w:tcW w:w="1634" w:type="dxa"/>
            <w:vAlign w:val="center"/>
            <w:hideMark/>
          </w:tcPr>
          <w:p w14:paraId="3248507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081462E7" w14:textId="77777777" w:rsidTr="00FD19DA">
        <w:tc>
          <w:tcPr>
            <w:tcW w:w="1440" w:type="dxa"/>
            <w:vMerge/>
            <w:vAlign w:val="center"/>
            <w:hideMark/>
          </w:tcPr>
          <w:p w14:paraId="70929CF6"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439C73FE"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Relaxation factor (γ)</w:t>
            </w:r>
          </w:p>
        </w:tc>
        <w:tc>
          <w:tcPr>
            <w:tcW w:w="2520" w:type="dxa"/>
            <w:vAlign w:val="center"/>
            <w:hideMark/>
          </w:tcPr>
          <w:p w14:paraId="641A9D0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1.0 – 2.0</w:t>
            </w:r>
          </w:p>
        </w:tc>
        <w:tc>
          <w:tcPr>
            <w:tcW w:w="1516" w:type="dxa"/>
            <w:vAlign w:val="center"/>
            <w:hideMark/>
          </w:tcPr>
          <w:p w14:paraId="6C0719DD"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1.5</w:t>
            </w:r>
          </w:p>
        </w:tc>
        <w:tc>
          <w:tcPr>
            <w:tcW w:w="1634" w:type="dxa"/>
            <w:vAlign w:val="center"/>
            <w:hideMark/>
          </w:tcPr>
          <w:p w14:paraId="67782AF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Grid Search</w:t>
            </w:r>
          </w:p>
        </w:tc>
      </w:tr>
      <w:tr w:rsidR="00881D4D" w:rsidRPr="00881D4D" w14:paraId="404C9887" w14:textId="77777777" w:rsidTr="00FD19DA">
        <w:tc>
          <w:tcPr>
            <w:tcW w:w="1440" w:type="dxa"/>
            <w:vMerge/>
            <w:vAlign w:val="center"/>
            <w:hideMark/>
          </w:tcPr>
          <w:p w14:paraId="1122FB5B"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061197D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Learning rate</w:t>
            </w:r>
          </w:p>
        </w:tc>
        <w:tc>
          <w:tcPr>
            <w:tcW w:w="2520" w:type="dxa"/>
            <w:vAlign w:val="center"/>
            <w:hideMark/>
          </w:tcPr>
          <w:p w14:paraId="6BFA0AE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0.001 – 0.05</w:t>
            </w:r>
          </w:p>
        </w:tc>
        <w:tc>
          <w:tcPr>
            <w:tcW w:w="1516" w:type="dxa"/>
            <w:vAlign w:val="center"/>
            <w:hideMark/>
          </w:tcPr>
          <w:p w14:paraId="728077C2"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0.02</w:t>
            </w:r>
          </w:p>
        </w:tc>
        <w:tc>
          <w:tcPr>
            <w:tcW w:w="1634" w:type="dxa"/>
            <w:vAlign w:val="center"/>
            <w:hideMark/>
          </w:tcPr>
          <w:p w14:paraId="457F50D3"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Random Search</w:t>
            </w:r>
          </w:p>
        </w:tc>
      </w:tr>
      <w:tr w:rsidR="00881D4D" w:rsidRPr="00881D4D" w14:paraId="57015D9A" w14:textId="77777777" w:rsidTr="00FD19DA">
        <w:tc>
          <w:tcPr>
            <w:tcW w:w="1440" w:type="dxa"/>
            <w:vMerge w:val="restart"/>
            <w:vAlign w:val="center"/>
            <w:hideMark/>
          </w:tcPr>
          <w:p w14:paraId="55843FC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b/>
                <w:bCs/>
                <w:color w:val="000000"/>
                <w:kern w:val="0"/>
                <w:sz w:val="24"/>
                <w:szCs w:val="24"/>
                <w:lang w:val="en-US"/>
                <w14:ligatures w14:val="none"/>
              </w:rPr>
              <w:t>Ensemble</w:t>
            </w:r>
          </w:p>
        </w:tc>
        <w:tc>
          <w:tcPr>
            <w:tcW w:w="2790" w:type="dxa"/>
            <w:vAlign w:val="center"/>
            <w:hideMark/>
          </w:tcPr>
          <w:p w14:paraId="4D8F426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Base learners included</w:t>
            </w:r>
          </w:p>
        </w:tc>
        <w:tc>
          <w:tcPr>
            <w:tcW w:w="2520" w:type="dxa"/>
            <w:vAlign w:val="center"/>
            <w:hideMark/>
          </w:tcPr>
          <w:p w14:paraId="0BF3617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 xml:space="preserve">RF, SAINT, </w:t>
            </w:r>
            <w:proofErr w:type="spellStart"/>
            <w:r w:rsidRPr="00881D4D">
              <w:rPr>
                <w:rFonts w:ascii="Times New Roman" w:eastAsia="Times New Roman" w:hAnsi="Times New Roman" w:cs="Times New Roman"/>
                <w:color w:val="000000"/>
                <w:kern w:val="0"/>
                <w:sz w:val="24"/>
                <w:szCs w:val="24"/>
                <w:lang w:val="en-US"/>
                <w14:ligatures w14:val="none"/>
              </w:rPr>
              <w:t>TabNet</w:t>
            </w:r>
            <w:proofErr w:type="spellEnd"/>
            <w:r w:rsidRPr="00881D4D">
              <w:rPr>
                <w:rFonts w:ascii="Times New Roman" w:eastAsia="Times New Roman" w:hAnsi="Times New Roman" w:cs="Times New Roman"/>
                <w:color w:val="000000"/>
                <w:kern w:val="0"/>
                <w:sz w:val="24"/>
                <w:szCs w:val="24"/>
                <w:lang w:val="en-US"/>
                <w14:ligatures w14:val="none"/>
              </w:rPr>
              <w:t xml:space="preserve">, </w:t>
            </w:r>
            <w:proofErr w:type="spellStart"/>
            <w:r w:rsidRPr="00881D4D">
              <w:rPr>
                <w:rFonts w:ascii="Times New Roman" w:eastAsia="Times New Roman" w:hAnsi="Times New Roman" w:cs="Times New Roman"/>
                <w:color w:val="000000"/>
                <w:kern w:val="0"/>
                <w:sz w:val="24"/>
                <w:szCs w:val="24"/>
                <w:lang w:val="en-US"/>
                <w14:ligatures w14:val="none"/>
              </w:rPr>
              <w:t>XGBoost</w:t>
            </w:r>
            <w:proofErr w:type="spellEnd"/>
            <w:r w:rsidRPr="00881D4D">
              <w:rPr>
                <w:rFonts w:ascii="Times New Roman" w:eastAsia="Times New Roman" w:hAnsi="Times New Roman" w:cs="Times New Roman"/>
                <w:color w:val="000000"/>
                <w:kern w:val="0"/>
                <w:sz w:val="24"/>
                <w:szCs w:val="24"/>
                <w:lang w:val="en-US"/>
                <w14:ligatures w14:val="none"/>
              </w:rPr>
              <w:t xml:space="preserve"> (</w:t>
            </w:r>
            <w:proofErr w:type="spellStart"/>
            <w:r w:rsidRPr="00881D4D">
              <w:rPr>
                <w:rFonts w:ascii="Times New Roman" w:eastAsia="Times New Roman" w:hAnsi="Times New Roman" w:cs="Times New Roman"/>
                <w:color w:val="000000"/>
                <w:kern w:val="0"/>
                <w:sz w:val="24"/>
                <w:szCs w:val="24"/>
                <w:lang w:val="en-US"/>
                <w14:ligatures w14:val="none"/>
              </w:rPr>
              <w:t>trialled</w:t>
            </w:r>
            <w:proofErr w:type="spellEnd"/>
            <w:r w:rsidRPr="00881D4D">
              <w:rPr>
                <w:rFonts w:ascii="Times New Roman" w:eastAsia="Times New Roman" w:hAnsi="Times New Roman" w:cs="Times New Roman"/>
                <w:color w:val="000000"/>
                <w:kern w:val="0"/>
                <w:sz w:val="24"/>
                <w:szCs w:val="24"/>
                <w:lang w:val="en-US"/>
                <w14:ligatures w14:val="none"/>
              </w:rPr>
              <w:t>)</w:t>
            </w:r>
          </w:p>
        </w:tc>
        <w:tc>
          <w:tcPr>
            <w:tcW w:w="1516" w:type="dxa"/>
            <w:vAlign w:val="center"/>
            <w:hideMark/>
          </w:tcPr>
          <w:p w14:paraId="12EE788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 xml:space="preserve">RF + SAINT + </w:t>
            </w:r>
            <w:proofErr w:type="spellStart"/>
            <w:r w:rsidRPr="00881D4D">
              <w:rPr>
                <w:rFonts w:ascii="Times New Roman" w:eastAsia="Times New Roman" w:hAnsi="Times New Roman" w:cs="Times New Roman"/>
                <w:color w:val="000000"/>
                <w:kern w:val="0"/>
                <w:sz w:val="24"/>
                <w:szCs w:val="24"/>
                <w:lang w:val="en-US"/>
                <w14:ligatures w14:val="none"/>
              </w:rPr>
              <w:t>TabNet</w:t>
            </w:r>
            <w:proofErr w:type="spellEnd"/>
          </w:p>
        </w:tc>
        <w:tc>
          <w:tcPr>
            <w:tcW w:w="1634" w:type="dxa"/>
            <w:vAlign w:val="center"/>
            <w:hideMark/>
          </w:tcPr>
          <w:p w14:paraId="6192C7A1"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Manual Selection</w:t>
            </w:r>
          </w:p>
        </w:tc>
      </w:tr>
      <w:tr w:rsidR="00881D4D" w:rsidRPr="00881D4D" w14:paraId="6E2E3F7E" w14:textId="77777777" w:rsidTr="00FD19DA">
        <w:tc>
          <w:tcPr>
            <w:tcW w:w="1440" w:type="dxa"/>
            <w:vMerge/>
            <w:hideMark/>
          </w:tcPr>
          <w:p w14:paraId="6A70CF49" w14:textId="77777777" w:rsidR="00881D4D" w:rsidRPr="00881D4D" w:rsidRDefault="00881D4D" w:rsidP="00FD19DA">
            <w:pPr>
              <w:spacing w:line="360" w:lineRule="auto"/>
              <w:rPr>
                <w:rFonts w:ascii="Times New Roman" w:eastAsia="Times New Roman" w:hAnsi="Times New Roman" w:cs="Times New Roman"/>
                <w:color w:val="000000"/>
                <w:kern w:val="0"/>
                <w:sz w:val="24"/>
                <w:szCs w:val="24"/>
                <w:lang w:val="en-US"/>
                <w14:ligatures w14:val="none"/>
              </w:rPr>
            </w:pPr>
          </w:p>
        </w:tc>
        <w:tc>
          <w:tcPr>
            <w:tcW w:w="2790" w:type="dxa"/>
            <w:vAlign w:val="center"/>
            <w:hideMark/>
          </w:tcPr>
          <w:p w14:paraId="04CD0468"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Combination method</w:t>
            </w:r>
          </w:p>
        </w:tc>
        <w:tc>
          <w:tcPr>
            <w:tcW w:w="2520" w:type="dxa"/>
            <w:vAlign w:val="center"/>
            <w:hideMark/>
          </w:tcPr>
          <w:p w14:paraId="482EB7F0"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Weighted average / Simple average</w:t>
            </w:r>
          </w:p>
        </w:tc>
        <w:tc>
          <w:tcPr>
            <w:tcW w:w="1516" w:type="dxa"/>
            <w:vAlign w:val="center"/>
            <w:hideMark/>
          </w:tcPr>
          <w:p w14:paraId="435347D5"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Simple average</w:t>
            </w:r>
          </w:p>
        </w:tc>
        <w:tc>
          <w:tcPr>
            <w:tcW w:w="1634" w:type="dxa"/>
            <w:vAlign w:val="center"/>
            <w:hideMark/>
          </w:tcPr>
          <w:p w14:paraId="6CF78174" w14:textId="77777777" w:rsidR="00881D4D" w:rsidRPr="00881D4D" w:rsidRDefault="00881D4D" w:rsidP="00FD19DA">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lang w:val="en-US"/>
                <w14:ligatures w14:val="none"/>
              </w:rPr>
              <w:t>Manual Selection</w:t>
            </w:r>
          </w:p>
        </w:tc>
      </w:tr>
    </w:tbl>
    <w:p w14:paraId="71779147" w14:textId="1185BE8D" w:rsidR="00881D4D" w:rsidRPr="00881D4D" w:rsidRDefault="00881D4D" w:rsidP="00881D4D">
      <w:pPr>
        <w:spacing w:after="0" w:line="360" w:lineRule="auto"/>
        <w:jc w:val="both"/>
        <w:rPr>
          <w:rFonts w:ascii="Times New Roman" w:hAnsi="Times New Roman" w:cs="Times New Roman"/>
          <w:sz w:val="24"/>
          <w:szCs w:val="24"/>
        </w:rPr>
      </w:pPr>
    </w:p>
    <w:p w14:paraId="130D52B9" w14:textId="7652CC90" w:rsidR="00881D4D" w:rsidRPr="007D791E" w:rsidRDefault="007D791E" w:rsidP="00881D4D">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lastRenderedPageBreak/>
        <w:t xml:space="preserve">2.6 </w:t>
      </w:r>
      <w:r w:rsidR="00881D4D" w:rsidRPr="007D791E">
        <w:rPr>
          <w:rFonts w:ascii="Times New Roman" w:hAnsi="Times New Roman" w:cs="Times New Roman"/>
          <w:i/>
          <w:iCs/>
          <w:sz w:val="24"/>
          <w:szCs w:val="24"/>
        </w:rPr>
        <w:t>Cross-Validation (k-Fold)</w:t>
      </w:r>
    </w:p>
    <w:p w14:paraId="012B3557" w14:textId="7166AEBD" w:rsidR="00881D4D" w:rsidRPr="00F27E2A" w:rsidRDefault="00881D4D" w:rsidP="00881D4D">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To evaluate generalization and minimize the effect of dataset partitioning, k-fold cross-validation was implemented. The dataset was divided into k = 10 folds, with nine folds used for training and one for validation in each iteration. This process was repeated 10 times, ensuring that every sample was used once for testing and nine times for training. The performance metrics reported in this study represent the average values across all folds, with standard deviations included to indicate variability. This procedure enhanced the reliability of model assessment, reducing overfitting risks and ensuring that the reported results reflected the dataset’s true predictive potential rather than the influence of a single split.</w:t>
      </w:r>
      <w:r w:rsidR="00F27E2A">
        <w:rPr>
          <w:rFonts w:ascii="Times New Roman" w:hAnsi="Times New Roman" w:cs="Times New Roman"/>
          <w:sz w:val="24"/>
          <w:szCs w:val="24"/>
        </w:rPr>
        <w:t xml:space="preserve"> </w:t>
      </w:r>
      <w:r w:rsidR="00F27E2A" w:rsidRPr="00F27E2A">
        <w:rPr>
          <w:rFonts w:ascii="Times New Roman" w:hAnsi="Times New Roman" w:cs="Times New Roman"/>
          <w:color w:val="000000"/>
          <w:sz w:val="24"/>
          <w:szCs w:val="24"/>
        </w:rPr>
        <w:t>The table outlines the 10-fold cross-validation setup, where the dataset was split into 90% training and 10% validation in each iteration. Model performance was reported as the mean ± standard deviation of all folds to ensure robustness and reduce overfitting.</w:t>
      </w:r>
    </w:p>
    <w:p w14:paraId="75AC59AD" w14:textId="3DE1134D" w:rsidR="00881D4D" w:rsidRPr="00881D4D" w:rsidRDefault="00881D4D" w:rsidP="00881D4D">
      <w:pPr>
        <w:pStyle w:val="Heading3"/>
        <w:jc w:val="center"/>
        <w:rPr>
          <w:rFonts w:ascii="Times New Roman" w:hAnsi="Times New Roman" w:cs="Times New Roman"/>
          <w:color w:val="000000"/>
          <w:sz w:val="24"/>
          <w:szCs w:val="24"/>
        </w:rPr>
      </w:pPr>
      <w:r w:rsidRPr="00881D4D">
        <w:rPr>
          <w:rFonts w:ascii="Times New Roman" w:hAnsi="Times New Roman" w:cs="Times New Roman"/>
          <w:color w:val="000000"/>
          <w:sz w:val="24"/>
          <w:szCs w:val="24"/>
        </w:rPr>
        <w:t xml:space="preserve">Table 2: k-Fold cross-validation setup and implementation </w:t>
      </w:r>
    </w:p>
    <w:tbl>
      <w:tblPr>
        <w:tblStyle w:val="TableGrid"/>
        <w:tblW w:w="0" w:type="auto"/>
        <w:tblInd w:w="535" w:type="dxa"/>
        <w:tblLook w:val="04A0" w:firstRow="1" w:lastRow="0" w:firstColumn="1" w:lastColumn="0" w:noHBand="0" w:noVBand="1"/>
      </w:tblPr>
      <w:tblGrid>
        <w:gridCol w:w="2775"/>
        <w:gridCol w:w="5325"/>
      </w:tblGrid>
      <w:tr w:rsidR="00881D4D" w:rsidRPr="00F27E2A" w14:paraId="1A337706" w14:textId="77777777" w:rsidTr="00F27E2A">
        <w:tc>
          <w:tcPr>
            <w:tcW w:w="2775" w:type="dxa"/>
            <w:hideMark/>
          </w:tcPr>
          <w:p w14:paraId="6FF933A9" w14:textId="77777777" w:rsidR="00881D4D" w:rsidRPr="00F27E2A" w:rsidRDefault="00881D4D" w:rsidP="00881D4D">
            <w:pPr>
              <w:spacing w:line="360" w:lineRule="auto"/>
              <w:jc w:val="center"/>
              <w:rPr>
                <w:rFonts w:ascii="Times New Roman" w:hAnsi="Times New Roman" w:cs="Times New Roman"/>
                <w:b/>
                <w:bCs/>
              </w:rPr>
            </w:pPr>
            <w:r w:rsidRPr="00F27E2A">
              <w:rPr>
                <w:rFonts w:ascii="Times New Roman" w:hAnsi="Times New Roman" w:cs="Times New Roman"/>
                <w:b/>
                <w:bCs/>
              </w:rPr>
              <w:t>Parameter</w:t>
            </w:r>
          </w:p>
        </w:tc>
        <w:tc>
          <w:tcPr>
            <w:tcW w:w="5325" w:type="dxa"/>
            <w:hideMark/>
          </w:tcPr>
          <w:p w14:paraId="463FD74D" w14:textId="77777777" w:rsidR="00881D4D" w:rsidRPr="00F27E2A" w:rsidRDefault="00881D4D" w:rsidP="00881D4D">
            <w:pPr>
              <w:spacing w:line="360" w:lineRule="auto"/>
              <w:jc w:val="center"/>
              <w:rPr>
                <w:rFonts w:ascii="Times New Roman" w:hAnsi="Times New Roman" w:cs="Times New Roman"/>
                <w:b/>
                <w:bCs/>
              </w:rPr>
            </w:pPr>
            <w:r w:rsidRPr="00F27E2A">
              <w:rPr>
                <w:rFonts w:ascii="Times New Roman" w:hAnsi="Times New Roman" w:cs="Times New Roman"/>
                <w:b/>
                <w:bCs/>
              </w:rPr>
              <w:t>Description</w:t>
            </w:r>
          </w:p>
        </w:tc>
      </w:tr>
      <w:tr w:rsidR="00881D4D" w:rsidRPr="00F27E2A" w14:paraId="02B0A094" w14:textId="77777777" w:rsidTr="00F27E2A">
        <w:tc>
          <w:tcPr>
            <w:tcW w:w="2775" w:type="dxa"/>
            <w:hideMark/>
          </w:tcPr>
          <w:p w14:paraId="4369D0AF"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Number of folds (k)</w:t>
            </w:r>
          </w:p>
        </w:tc>
        <w:tc>
          <w:tcPr>
            <w:tcW w:w="5325" w:type="dxa"/>
            <w:hideMark/>
          </w:tcPr>
          <w:p w14:paraId="4D77A98F"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10</w:t>
            </w:r>
          </w:p>
        </w:tc>
      </w:tr>
      <w:tr w:rsidR="00881D4D" w:rsidRPr="00F27E2A" w14:paraId="33857180" w14:textId="77777777" w:rsidTr="00F27E2A">
        <w:tc>
          <w:tcPr>
            <w:tcW w:w="2775" w:type="dxa"/>
            <w:hideMark/>
          </w:tcPr>
          <w:p w14:paraId="4D0D0822"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Training/Validation ratio</w:t>
            </w:r>
          </w:p>
        </w:tc>
        <w:tc>
          <w:tcPr>
            <w:tcW w:w="5325" w:type="dxa"/>
            <w:hideMark/>
          </w:tcPr>
          <w:p w14:paraId="07FDED4E"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90% training, 10% validation per fold</w:t>
            </w:r>
          </w:p>
        </w:tc>
      </w:tr>
      <w:tr w:rsidR="00881D4D" w:rsidRPr="00F27E2A" w14:paraId="4EB7DD0B" w14:textId="77777777" w:rsidTr="00F27E2A">
        <w:tc>
          <w:tcPr>
            <w:tcW w:w="2775" w:type="dxa"/>
            <w:hideMark/>
          </w:tcPr>
          <w:p w14:paraId="215FFCC4"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Iterations per model</w:t>
            </w:r>
          </w:p>
        </w:tc>
        <w:tc>
          <w:tcPr>
            <w:tcW w:w="5325" w:type="dxa"/>
            <w:hideMark/>
          </w:tcPr>
          <w:p w14:paraId="7A70A6B1"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10 (each fold used once for validation)</w:t>
            </w:r>
          </w:p>
        </w:tc>
      </w:tr>
      <w:tr w:rsidR="00881D4D" w:rsidRPr="00F27E2A" w14:paraId="165E4B21" w14:textId="77777777" w:rsidTr="00F27E2A">
        <w:tc>
          <w:tcPr>
            <w:tcW w:w="2775" w:type="dxa"/>
            <w:hideMark/>
          </w:tcPr>
          <w:p w14:paraId="7EA7DBDD"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Evaluation metrics</w:t>
            </w:r>
          </w:p>
        </w:tc>
        <w:tc>
          <w:tcPr>
            <w:tcW w:w="5325" w:type="dxa"/>
            <w:hideMark/>
          </w:tcPr>
          <w:p w14:paraId="08AAAA92"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R², RMSE, MAE, WMAPE, NS, VAF, RSR, LMI</w:t>
            </w:r>
          </w:p>
        </w:tc>
      </w:tr>
      <w:tr w:rsidR="00881D4D" w:rsidRPr="00F27E2A" w14:paraId="03186D5D" w14:textId="77777777" w:rsidTr="00F27E2A">
        <w:tc>
          <w:tcPr>
            <w:tcW w:w="2775" w:type="dxa"/>
            <w:hideMark/>
          </w:tcPr>
          <w:p w14:paraId="3A74EB48"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Reporting method</w:t>
            </w:r>
          </w:p>
        </w:tc>
        <w:tc>
          <w:tcPr>
            <w:tcW w:w="5325" w:type="dxa"/>
            <w:hideMark/>
          </w:tcPr>
          <w:p w14:paraId="32730F23"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Mean ± standard deviation of metrics across all folds</w:t>
            </w:r>
          </w:p>
        </w:tc>
      </w:tr>
      <w:tr w:rsidR="00881D4D" w:rsidRPr="00F27E2A" w14:paraId="0F96BAAA" w14:textId="77777777" w:rsidTr="00F27E2A">
        <w:tc>
          <w:tcPr>
            <w:tcW w:w="2775" w:type="dxa"/>
            <w:hideMark/>
          </w:tcPr>
          <w:p w14:paraId="5B282C60" w14:textId="77777777" w:rsidR="00881D4D" w:rsidRPr="00F27E2A" w:rsidRDefault="00881D4D" w:rsidP="00F27E2A">
            <w:pPr>
              <w:spacing w:line="360" w:lineRule="auto"/>
              <w:rPr>
                <w:rFonts w:ascii="Times New Roman" w:hAnsi="Times New Roman" w:cs="Times New Roman"/>
              </w:rPr>
            </w:pPr>
            <w:r w:rsidRPr="00F27E2A">
              <w:rPr>
                <w:rFonts w:ascii="Times New Roman" w:hAnsi="Times New Roman" w:cs="Times New Roman"/>
              </w:rPr>
              <w:t>Purpose</w:t>
            </w:r>
          </w:p>
        </w:tc>
        <w:tc>
          <w:tcPr>
            <w:tcW w:w="5325" w:type="dxa"/>
            <w:hideMark/>
          </w:tcPr>
          <w:p w14:paraId="2F3B436F" w14:textId="5FC0A80E" w:rsidR="00881D4D" w:rsidRPr="00F27E2A" w:rsidRDefault="00F27E2A" w:rsidP="00F27E2A">
            <w:pPr>
              <w:spacing w:line="360" w:lineRule="auto"/>
              <w:rPr>
                <w:rFonts w:ascii="Times New Roman" w:hAnsi="Times New Roman" w:cs="Times New Roman"/>
              </w:rPr>
            </w:pPr>
            <w:r w:rsidRPr="00F27E2A">
              <w:rPr>
                <w:rFonts w:ascii="Times New Roman" w:hAnsi="Times New Roman" w:cs="Times New Roman"/>
                <w:color w:val="000000"/>
              </w:rPr>
              <w:t>To reduce overfitting, assess model robustness, and ensure reproducibility</w:t>
            </w:r>
          </w:p>
        </w:tc>
      </w:tr>
    </w:tbl>
    <w:p w14:paraId="2604E0E3" w14:textId="77777777" w:rsidR="00045225" w:rsidRPr="00881D4D" w:rsidRDefault="00045225" w:rsidP="008D5581">
      <w:pPr>
        <w:spacing w:line="276" w:lineRule="auto"/>
        <w:rPr>
          <w:rFonts w:ascii="Times New Roman" w:hAnsi="Times New Roman" w:cs="Times New Roman"/>
          <w:b/>
          <w:bCs/>
          <w:sz w:val="24"/>
          <w:szCs w:val="24"/>
        </w:rPr>
      </w:pPr>
    </w:p>
    <w:p w14:paraId="7054256F" w14:textId="0650042A" w:rsidR="008D5581" w:rsidRPr="007D791E" w:rsidRDefault="007D791E" w:rsidP="008D5581">
      <w:pPr>
        <w:spacing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2.7 </w:t>
      </w:r>
      <w:r w:rsidR="008D5581" w:rsidRPr="007D791E">
        <w:rPr>
          <w:rFonts w:ascii="Times New Roman" w:hAnsi="Times New Roman" w:cs="Times New Roman"/>
          <w:i/>
          <w:iCs/>
          <w:sz w:val="24"/>
          <w:szCs w:val="24"/>
        </w:rPr>
        <w:t>Heatmap analysis</w:t>
      </w:r>
    </w:p>
    <w:p w14:paraId="712107C0" w14:textId="77777777" w:rsidR="008D5581" w:rsidRPr="00881D4D" w:rsidRDefault="008D5581" w:rsidP="00045225">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These heatmaps present the agreement between actual values and predicted outputs for three critical mechanical properties of concrete at 28 days: compressive strength, tensile strength, and flexural strength. Each row corresponds to one of the evaluated models — SAINT, Random Forest,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and an Ensemble, with the diagonal values indicating perfect matches (1.0). The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models show very strong alignment with actual results across all three properties, with values consistently above 0.98, reflecting their robustness. SAINT, on the other hand, shows weaker agreement for compressive and tensile strength, with off-diagonal values (0.22–0.26) suggesting noticeable deviations from true values.</w:t>
      </w:r>
    </w:p>
    <w:p w14:paraId="1B3339CD" w14:textId="77777777" w:rsidR="008D5581" w:rsidRPr="00881D4D" w:rsidRDefault="008D5581" w:rsidP="008D5581">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lastRenderedPageBreak/>
        <w:t xml:space="preserve">For flexural strength, all models, including SAINT, perform better, with off-diagonal values closer to 0.85–0.86, indicating stronger reliability in capturing this property compared to compressive and tensile strength. The Ensemble model shows stable but slightly lower consistency than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which may be due to the averaging effect diluting the strengths of individual models. Overall, the heatmaps highlight that while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provide the most accurate and consistent predictions across all strength measures, SAINT struggles with compressive and tensile strength but still maintains reasonable performance for flexural strength. This analysis reinforces that ensemble learning does not always outperform strong standalone models in this dataset.</w:t>
      </w:r>
    </w:p>
    <w:p w14:paraId="0CD8B83F" w14:textId="77777777" w:rsidR="008D5581" w:rsidRPr="00881D4D" w:rsidRDefault="008D5581" w:rsidP="008D5581">
      <w:pPr>
        <w:spacing w:line="276" w:lineRule="auto"/>
        <w:rPr>
          <w:rFonts w:ascii="Times New Roman" w:hAnsi="Times New Roman" w:cs="Times New Roman"/>
          <w:b/>
          <w:bCs/>
          <w:sz w:val="24"/>
          <w:szCs w:val="24"/>
        </w:rPr>
      </w:pPr>
    </w:p>
    <w:p w14:paraId="672D09EF" w14:textId="77777777" w:rsidR="008D5581" w:rsidRPr="00881D4D" w:rsidRDefault="008D5581" w:rsidP="008D5581">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0E3D31E3" wp14:editId="31D5A16F">
            <wp:extent cx="5731510" cy="2886710"/>
            <wp:effectExtent l="0" t="0" r="2540" b="8890"/>
            <wp:docPr id="2044139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9855" name="Picture 20441398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45E30458" w14:textId="77777777" w:rsidR="008D5581" w:rsidRPr="007D791E" w:rsidRDefault="008D5581" w:rsidP="008D5581">
      <w:pPr>
        <w:spacing w:line="276" w:lineRule="auto"/>
        <w:jc w:val="center"/>
        <w:rPr>
          <w:rFonts w:ascii="Times New Roman" w:hAnsi="Times New Roman" w:cs="Times New Roman"/>
          <w:sz w:val="24"/>
          <w:szCs w:val="24"/>
        </w:rPr>
      </w:pPr>
      <w:r w:rsidRPr="007D791E">
        <w:rPr>
          <w:rFonts w:ascii="Times New Roman" w:hAnsi="Times New Roman" w:cs="Times New Roman"/>
          <w:sz w:val="24"/>
          <w:szCs w:val="24"/>
        </w:rPr>
        <w:t>Figure 4: Heatmap for the 4 models used for prediction</w:t>
      </w:r>
    </w:p>
    <w:p w14:paraId="2EB83CF5" w14:textId="3310E6A8" w:rsidR="000E06FB" w:rsidRPr="007D791E" w:rsidRDefault="007D791E" w:rsidP="000E06FB">
      <w:pPr>
        <w:spacing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2.8 </w:t>
      </w:r>
      <w:r w:rsidR="000E06FB" w:rsidRPr="007D791E">
        <w:rPr>
          <w:rFonts w:ascii="Times New Roman" w:hAnsi="Times New Roman" w:cs="Times New Roman"/>
          <w:i/>
          <w:iCs/>
          <w:sz w:val="24"/>
          <w:szCs w:val="24"/>
        </w:rPr>
        <w:t>Correlation Matrix</w:t>
      </w:r>
    </w:p>
    <w:p w14:paraId="6D074F0E" w14:textId="77777777" w:rsidR="000E06FB" w:rsidRPr="00881D4D" w:rsidRDefault="000E06FB" w:rsidP="00045225">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This correlation matrix provides a comprehensive view of how the features in the dataset interact with one another. One of the strongest relationships observed is between Biomedical Waste Ash (%) (BMWA%) and Biomedical Waste Ash (kg/m³), showing a near-perfect positive correlation (0.96), which is expected since both represent related measures of the same material. On the other hand, BMWA(%) exhibits a strong negative correlation with cement content (–0.93), indicating that as the replacement level of BMWA increases, the cement content decreases. Similarly, compressive strength measures across different curing ages (7, 14, and 28 days) are highly correlated with each other (0.78–0.85), demonstrating the consistency of strength development in the concrete mixes.</w:t>
      </w:r>
    </w:p>
    <w:p w14:paraId="7F092682" w14:textId="1BDB801E" w:rsidR="000E06FB" w:rsidRPr="00881D4D" w:rsidRDefault="000E06FB" w:rsidP="007D791E">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lastRenderedPageBreak/>
        <w:t>Interestingly, tensile and flexural strengths show moderate positive correlations with compressive strength, with values around 0.57–0.73, confirming their interdependence in assessing overall mechanical performance. However, early-age tensile strength (7 days) has weaker correlations with other strength measures, suggesting greater variability and sensitivity during initial curing. Negative correlations between BMWA(%) and most strength parameters further highlight that excessive BMWA content can reduce concrete strength, which is consistent with experimental knowledge. Overall, this matrix reveals the trade-off between cement replacement by BMWA and mechanical performance, while also confirming that compressive, tensile, and flexural strengths remain strongly interrelated, making them reliable indicators for predicting concrete quality.</w:t>
      </w:r>
    </w:p>
    <w:p w14:paraId="1D173726" w14:textId="77777777" w:rsidR="000E06FB" w:rsidRPr="00881D4D" w:rsidRDefault="000E06FB" w:rsidP="000E06FB">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324B5CCB" wp14:editId="1033932B">
            <wp:extent cx="5731510" cy="5019040"/>
            <wp:effectExtent l="0" t="0" r="2540" b="0"/>
            <wp:docPr id="89160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498" name="Picture 89160498"/>
                    <pic:cNvPicPr/>
                  </pic:nvPicPr>
                  <pic:blipFill>
                    <a:blip r:embed="rId6">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inline>
        </w:drawing>
      </w:r>
    </w:p>
    <w:p w14:paraId="3A2F7828" w14:textId="33989ED9" w:rsidR="008D5581" w:rsidRPr="00881D4D" w:rsidRDefault="000E06FB" w:rsidP="00045225">
      <w:pPr>
        <w:spacing w:line="276" w:lineRule="auto"/>
        <w:jc w:val="center"/>
        <w:rPr>
          <w:rFonts w:ascii="Times New Roman" w:hAnsi="Times New Roman" w:cs="Times New Roman"/>
          <w:sz w:val="24"/>
          <w:szCs w:val="24"/>
        </w:rPr>
      </w:pPr>
      <w:r w:rsidRPr="00881D4D">
        <w:rPr>
          <w:rFonts w:ascii="Times New Roman" w:hAnsi="Times New Roman" w:cs="Times New Roman"/>
          <w:sz w:val="24"/>
          <w:szCs w:val="24"/>
        </w:rPr>
        <w:t xml:space="preserve">Figure 5: Confusion Matrix </w:t>
      </w:r>
    </w:p>
    <w:p w14:paraId="0CE67F50" w14:textId="5D63CC18" w:rsidR="00BC74AA" w:rsidRPr="007D791E" w:rsidRDefault="00BC74AA" w:rsidP="007D791E">
      <w:pPr>
        <w:pStyle w:val="ListParagraph"/>
        <w:numPr>
          <w:ilvl w:val="0"/>
          <w:numId w:val="5"/>
        </w:numPr>
        <w:spacing w:line="276" w:lineRule="auto"/>
        <w:rPr>
          <w:rFonts w:ascii="Times New Roman" w:hAnsi="Times New Roman" w:cs="Times New Roman"/>
          <w:b/>
          <w:bCs/>
          <w:sz w:val="24"/>
          <w:szCs w:val="24"/>
        </w:rPr>
      </w:pPr>
      <w:r w:rsidRPr="007D791E">
        <w:rPr>
          <w:rFonts w:ascii="Times New Roman" w:hAnsi="Times New Roman" w:cs="Times New Roman"/>
          <w:b/>
          <w:bCs/>
          <w:sz w:val="24"/>
          <w:szCs w:val="24"/>
        </w:rPr>
        <w:t xml:space="preserve">Results and Discussion </w:t>
      </w:r>
    </w:p>
    <w:p w14:paraId="16211B87" w14:textId="23D9D336" w:rsidR="00CE6450" w:rsidRPr="00CE6450" w:rsidRDefault="00CE6450" w:rsidP="00CE6450">
      <w:pPr>
        <w:pStyle w:val="ListParagraph"/>
        <w:numPr>
          <w:ilvl w:val="1"/>
          <w:numId w:val="5"/>
        </w:numPr>
        <w:spacing w:line="276" w:lineRule="auto"/>
        <w:rPr>
          <w:rFonts w:ascii="Times New Roman" w:hAnsi="Times New Roman" w:cs="Times New Roman"/>
          <w:i/>
          <w:iCs/>
          <w:sz w:val="24"/>
          <w:szCs w:val="24"/>
        </w:rPr>
      </w:pPr>
      <w:r w:rsidRPr="00CE6450">
        <w:rPr>
          <w:rFonts w:ascii="Times New Roman" w:hAnsi="Times New Roman" w:cs="Times New Roman"/>
          <w:i/>
          <w:iCs/>
          <w:sz w:val="24"/>
          <w:szCs w:val="24"/>
        </w:rPr>
        <w:t>Descriptive Statistics</w:t>
      </w:r>
      <w:r w:rsidR="007D791E" w:rsidRPr="00CE6450">
        <w:rPr>
          <w:rFonts w:ascii="Times New Roman" w:hAnsi="Times New Roman" w:cs="Times New Roman"/>
          <w:i/>
          <w:iCs/>
          <w:sz w:val="24"/>
          <w:szCs w:val="24"/>
        </w:rPr>
        <w:t xml:space="preserve"> </w:t>
      </w:r>
    </w:p>
    <w:p w14:paraId="091FCBCB" w14:textId="77777777" w:rsidR="00CE6450" w:rsidRPr="00CE6450" w:rsidRDefault="00CE6450" w:rsidP="00CE6450">
      <w:pPr>
        <w:pStyle w:val="ListParagraph"/>
        <w:spacing w:line="276" w:lineRule="auto"/>
        <w:ind w:left="360"/>
        <w:rPr>
          <w:rFonts w:ascii="Times New Roman" w:hAnsi="Times New Roman" w:cs="Times New Roman"/>
          <w:i/>
          <w:iCs/>
          <w:sz w:val="24"/>
          <w:szCs w:val="24"/>
        </w:rPr>
      </w:pPr>
    </w:p>
    <w:p w14:paraId="40CE719F" w14:textId="2970E04C" w:rsidR="008D5581" w:rsidRPr="007D791E" w:rsidRDefault="00CE6450" w:rsidP="0076608F">
      <w:pPr>
        <w:spacing w:line="276" w:lineRule="auto"/>
        <w:rPr>
          <w:rFonts w:ascii="Times New Roman" w:hAnsi="Times New Roman" w:cs="Times New Roman"/>
          <w:i/>
          <w:iCs/>
          <w:sz w:val="24"/>
          <w:szCs w:val="24"/>
        </w:rPr>
      </w:pPr>
      <w:r>
        <w:rPr>
          <w:rFonts w:ascii="Times New Roman" w:hAnsi="Times New Roman" w:cs="Times New Roman"/>
          <w:i/>
          <w:iCs/>
          <w:sz w:val="24"/>
          <w:szCs w:val="24"/>
        </w:rPr>
        <w:lastRenderedPageBreak/>
        <w:t xml:space="preserve">3.2 </w:t>
      </w:r>
      <w:r w:rsidR="008D5581" w:rsidRPr="007D791E">
        <w:rPr>
          <w:rFonts w:ascii="Times New Roman" w:hAnsi="Times New Roman" w:cs="Times New Roman"/>
          <w:i/>
          <w:iCs/>
          <w:sz w:val="24"/>
          <w:szCs w:val="24"/>
        </w:rPr>
        <w:t>Model Performance Metrics</w:t>
      </w:r>
    </w:p>
    <w:p w14:paraId="5E4E2FD0" w14:textId="77777777" w:rsidR="007D791E" w:rsidRDefault="007D791E" w:rsidP="007D791E">
      <w:pPr>
        <w:pStyle w:val="NormalWeb"/>
        <w:spacing w:after="0" w:afterAutospacing="0" w:line="360" w:lineRule="auto"/>
        <w:ind w:firstLine="720"/>
        <w:jc w:val="both"/>
        <w:rPr>
          <w:color w:val="000000"/>
        </w:rPr>
      </w:pPr>
      <w:r>
        <w:rPr>
          <w:color w:val="000000"/>
        </w:rPr>
        <w:t xml:space="preserve">The training results showed that Random Forest and </w:t>
      </w:r>
      <w:proofErr w:type="spellStart"/>
      <w:r>
        <w:rPr>
          <w:color w:val="000000"/>
        </w:rPr>
        <w:t>TabNet</w:t>
      </w:r>
      <w:proofErr w:type="spellEnd"/>
      <w:r>
        <w:rPr>
          <w:color w:val="000000"/>
        </w:rPr>
        <w:t xml:space="preserve"> performed best, each achieving R² = 0.82 with low RMSE (0.185) and MAE (0.144), confirming their accuracy and consistency. SAINT followed with slightly lower performance (R² = 0.798, RMSE = 0.261), while the Ensemble model was weakest (R² = 0.724, MAE = 0.204), reflecting instability from over-smoothing.</w:t>
      </w:r>
    </w:p>
    <w:p w14:paraId="788D19AC" w14:textId="77777777" w:rsidR="007D791E" w:rsidRDefault="007D791E" w:rsidP="007D791E">
      <w:pPr>
        <w:pStyle w:val="NormalWeb"/>
        <w:spacing w:before="0" w:beforeAutospacing="0" w:after="0" w:afterAutospacing="0" w:line="360" w:lineRule="auto"/>
        <w:ind w:firstLine="720"/>
        <w:jc w:val="both"/>
        <w:rPr>
          <w:color w:val="000000"/>
        </w:rPr>
      </w:pPr>
      <w:r>
        <w:rPr>
          <w:color w:val="000000"/>
        </w:rPr>
        <w:t xml:space="preserve">On testing, SAINT generalized most effectively with R² = 0.784 and VAF = 77.2%, despite a slightly higher RMSE (0.284). Its high LMI (1.0004) and very low RSR (0.019) indicated stable and reliable predictions. Random Forest and </w:t>
      </w:r>
      <w:proofErr w:type="spellStart"/>
      <w:r>
        <w:rPr>
          <w:color w:val="000000"/>
        </w:rPr>
        <w:t>TabNet</w:t>
      </w:r>
      <w:proofErr w:type="spellEnd"/>
      <w:r>
        <w:rPr>
          <w:color w:val="000000"/>
        </w:rPr>
        <w:t xml:space="preserve"> also generalized well with identical results (R² = 0.764, RMSE = 0.233, MAE = 0.185), though with slightly higher error ratios.</w:t>
      </w:r>
    </w:p>
    <w:p w14:paraId="33E77700" w14:textId="04EFDC6F" w:rsidR="007D791E" w:rsidRPr="007D791E" w:rsidRDefault="007D791E" w:rsidP="007D791E">
      <w:pPr>
        <w:pStyle w:val="NormalWeb"/>
        <w:spacing w:before="0" w:beforeAutospacing="0" w:line="360" w:lineRule="auto"/>
        <w:ind w:firstLine="720"/>
        <w:jc w:val="both"/>
        <w:rPr>
          <w:color w:val="000000"/>
        </w:rPr>
      </w:pPr>
      <w:r>
        <w:rPr>
          <w:color w:val="000000"/>
        </w:rPr>
        <w:t xml:space="preserve">The Ensemble again performed poorly on the test set (R² = 0.713, RMSE = 0.256, MAE = 0.206), showing reduced stability compared to the individual models. Overall, SAINT demonstrated the best generalization, while Random Forest and </w:t>
      </w:r>
      <w:proofErr w:type="spellStart"/>
      <w:r>
        <w:rPr>
          <w:color w:val="000000"/>
        </w:rPr>
        <w:t>TabNet</w:t>
      </w:r>
      <w:proofErr w:type="spellEnd"/>
      <w:r>
        <w:rPr>
          <w:color w:val="000000"/>
        </w:rPr>
        <w:t xml:space="preserve"> offered reliable alternatives. The Ensemble, however, proved less suitable for this dataset.</w:t>
      </w:r>
    </w:p>
    <w:p w14:paraId="694C6CA7" w14:textId="3B94167B" w:rsidR="008D5581" w:rsidRPr="00881D4D" w:rsidRDefault="008D5581" w:rsidP="008D5581">
      <w:pPr>
        <w:spacing w:line="360" w:lineRule="auto"/>
        <w:jc w:val="center"/>
        <w:rPr>
          <w:rFonts w:ascii="Times New Roman" w:hAnsi="Times New Roman" w:cs="Times New Roman"/>
          <w:sz w:val="24"/>
          <w:szCs w:val="24"/>
        </w:rPr>
      </w:pPr>
      <w:r w:rsidRPr="00881D4D">
        <w:rPr>
          <w:rFonts w:ascii="Times New Roman" w:hAnsi="Times New Roman" w:cs="Times New Roman"/>
          <w:sz w:val="24"/>
          <w:szCs w:val="24"/>
        </w:rPr>
        <w:t xml:space="preserve">Table 1: Model Performance Metrics for training and testing set </w:t>
      </w:r>
    </w:p>
    <w:tbl>
      <w:tblPr>
        <w:tblStyle w:val="TableGrid"/>
        <w:tblW w:w="5739" w:type="pct"/>
        <w:tblInd w:w="-815" w:type="dxa"/>
        <w:tblLook w:val="04A0" w:firstRow="1" w:lastRow="0" w:firstColumn="1" w:lastColumn="0" w:noHBand="0" w:noVBand="1"/>
      </w:tblPr>
      <w:tblGrid>
        <w:gridCol w:w="1216"/>
        <w:gridCol w:w="1116"/>
        <w:gridCol w:w="1470"/>
        <w:gridCol w:w="1116"/>
        <w:gridCol w:w="1116"/>
        <w:gridCol w:w="1236"/>
        <w:gridCol w:w="1116"/>
        <w:gridCol w:w="1116"/>
        <w:gridCol w:w="876"/>
      </w:tblGrid>
      <w:tr w:rsidR="000E06FB" w:rsidRPr="00881D4D" w14:paraId="70B7C3CE" w14:textId="77777777" w:rsidTr="000E06FB">
        <w:trPr>
          <w:trHeight w:val="369"/>
        </w:trPr>
        <w:tc>
          <w:tcPr>
            <w:tcW w:w="774" w:type="pct"/>
            <w:hideMark/>
          </w:tcPr>
          <w:p w14:paraId="362A6044"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Algorithm</w:t>
            </w:r>
          </w:p>
        </w:tc>
        <w:tc>
          <w:tcPr>
            <w:tcW w:w="515" w:type="pct"/>
            <w:hideMark/>
          </w:tcPr>
          <w:p w14:paraId="12BBD976"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R</w:t>
            </w:r>
            <w:r w:rsidRPr="00881D4D">
              <w:rPr>
                <w:rFonts w:ascii="Times New Roman" w:eastAsia="Times New Roman" w:hAnsi="Times New Roman" w:cs="Times New Roman"/>
                <w:color w:val="000000"/>
                <w:kern w:val="0"/>
                <w:sz w:val="24"/>
                <w:szCs w:val="24"/>
                <w:vertAlign w:val="superscript"/>
                <w14:ligatures w14:val="none"/>
              </w:rPr>
              <w:t>2</w:t>
            </w:r>
          </w:p>
        </w:tc>
        <w:tc>
          <w:tcPr>
            <w:tcW w:w="672" w:type="pct"/>
            <w:hideMark/>
          </w:tcPr>
          <w:p w14:paraId="4B9245A7"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WMAPE(%)</w:t>
            </w:r>
          </w:p>
        </w:tc>
        <w:tc>
          <w:tcPr>
            <w:tcW w:w="515" w:type="pct"/>
            <w:hideMark/>
          </w:tcPr>
          <w:p w14:paraId="458703F0"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NS</w:t>
            </w:r>
          </w:p>
        </w:tc>
        <w:tc>
          <w:tcPr>
            <w:tcW w:w="515" w:type="pct"/>
            <w:hideMark/>
          </w:tcPr>
          <w:p w14:paraId="67AEFA15"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RMSE</w:t>
            </w:r>
          </w:p>
        </w:tc>
        <w:tc>
          <w:tcPr>
            <w:tcW w:w="568" w:type="pct"/>
            <w:hideMark/>
          </w:tcPr>
          <w:p w14:paraId="3EBCE70C"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VAF(%)</w:t>
            </w:r>
          </w:p>
        </w:tc>
        <w:tc>
          <w:tcPr>
            <w:tcW w:w="515" w:type="pct"/>
            <w:hideMark/>
          </w:tcPr>
          <w:p w14:paraId="6FF89504"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LMI</w:t>
            </w:r>
          </w:p>
        </w:tc>
        <w:tc>
          <w:tcPr>
            <w:tcW w:w="515" w:type="pct"/>
            <w:hideMark/>
          </w:tcPr>
          <w:p w14:paraId="2E79BC9B"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RSR</w:t>
            </w:r>
          </w:p>
        </w:tc>
        <w:tc>
          <w:tcPr>
            <w:tcW w:w="411" w:type="pct"/>
            <w:hideMark/>
          </w:tcPr>
          <w:p w14:paraId="0F454D6B" w14:textId="77777777" w:rsidR="000E06FB" w:rsidRPr="00881D4D" w:rsidRDefault="000E06FB" w:rsidP="000E06FB">
            <w:pPr>
              <w:spacing w:line="360" w:lineRule="auto"/>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MAE</w:t>
            </w:r>
          </w:p>
        </w:tc>
      </w:tr>
      <w:tr w:rsidR="000E06FB" w:rsidRPr="00881D4D" w14:paraId="247179BA" w14:textId="77777777" w:rsidTr="000E06FB">
        <w:trPr>
          <w:trHeight w:val="369"/>
        </w:trPr>
        <w:tc>
          <w:tcPr>
            <w:tcW w:w="5000" w:type="pct"/>
            <w:gridSpan w:val="9"/>
            <w:hideMark/>
          </w:tcPr>
          <w:p w14:paraId="54DFB00B"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Training set</w:t>
            </w:r>
          </w:p>
        </w:tc>
      </w:tr>
      <w:tr w:rsidR="000E06FB" w:rsidRPr="00881D4D" w14:paraId="0F3E9B25" w14:textId="77777777" w:rsidTr="000E06FB">
        <w:trPr>
          <w:trHeight w:val="369"/>
        </w:trPr>
        <w:tc>
          <w:tcPr>
            <w:tcW w:w="774" w:type="pct"/>
          </w:tcPr>
          <w:p w14:paraId="46B3A0C7" w14:textId="01D4AB93"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Random Forest</w:t>
            </w:r>
          </w:p>
        </w:tc>
        <w:tc>
          <w:tcPr>
            <w:tcW w:w="515" w:type="pct"/>
          </w:tcPr>
          <w:p w14:paraId="742BBF2B" w14:textId="56C6CB7E"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0.820033</w:t>
            </w:r>
          </w:p>
        </w:tc>
        <w:tc>
          <w:tcPr>
            <w:tcW w:w="672" w:type="pct"/>
          </w:tcPr>
          <w:p w14:paraId="4D51BC65" w14:textId="2379773F"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1.603</w:t>
            </w:r>
          </w:p>
        </w:tc>
        <w:tc>
          <w:tcPr>
            <w:tcW w:w="515" w:type="pct"/>
          </w:tcPr>
          <w:p w14:paraId="53B55E8F" w14:textId="05E06789"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0.820033</w:t>
            </w:r>
          </w:p>
        </w:tc>
        <w:tc>
          <w:tcPr>
            <w:tcW w:w="515" w:type="pct"/>
          </w:tcPr>
          <w:p w14:paraId="6FF9750E" w14:textId="0CF0965D"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0.185067</w:t>
            </w:r>
          </w:p>
        </w:tc>
        <w:tc>
          <w:tcPr>
            <w:tcW w:w="568" w:type="pct"/>
          </w:tcPr>
          <w:p w14:paraId="500C8382" w14:textId="04C52BFB"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82.003333</w:t>
            </w:r>
          </w:p>
        </w:tc>
        <w:tc>
          <w:tcPr>
            <w:tcW w:w="515" w:type="pct"/>
          </w:tcPr>
          <w:p w14:paraId="0B1E01F3" w14:textId="1B34E685"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0.991967</w:t>
            </w:r>
          </w:p>
        </w:tc>
        <w:tc>
          <w:tcPr>
            <w:tcW w:w="515" w:type="pct"/>
          </w:tcPr>
          <w:p w14:paraId="193D7416" w14:textId="577C47D8"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0.389133</w:t>
            </w:r>
          </w:p>
        </w:tc>
        <w:tc>
          <w:tcPr>
            <w:tcW w:w="411" w:type="pct"/>
          </w:tcPr>
          <w:p w14:paraId="659B3B4B" w14:textId="55DD06E7"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0.1442</w:t>
            </w:r>
          </w:p>
        </w:tc>
      </w:tr>
      <w:tr w:rsidR="000E06FB" w:rsidRPr="00881D4D" w14:paraId="795800FC" w14:textId="77777777" w:rsidTr="000E06FB">
        <w:trPr>
          <w:trHeight w:val="369"/>
        </w:trPr>
        <w:tc>
          <w:tcPr>
            <w:tcW w:w="774" w:type="pct"/>
            <w:hideMark/>
          </w:tcPr>
          <w:p w14:paraId="0618791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SAINT</w:t>
            </w:r>
          </w:p>
        </w:tc>
        <w:tc>
          <w:tcPr>
            <w:tcW w:w="515" w:type="pct"/>
            <w:hideMark/>
          </w:tcPr>
          <w:p w14:paraId="73EA2DE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0.798</w:t>
            </w:r>
          </w:p>
        </w:tc>
        <w:tc>
          <w:tcPr>
            <w:tcW w:w="672" w:type="pct"/>
            <w:hideMark/>
          </w:tcPr>
          <w:p w14:paraId="79F12E12"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1.76</w:t>
            </w:r>
          </w:p>
        </w:tc>
        <w:tc>
          <w:tcPr>
            <w:tcW w:w="515" w:type="pct"/>
            <w:hideMark/>
          </w:tcPr>
          <w:p w14:paraId="3481594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0.9997</w:t>
            </w:r>
          </w:p>
        </w:tc>
        <w:tc>
          <w:tcPr>
            <w:tcW w:w="515" w:type="pct"/>
            <w:hideMark/>
          </w:tcPr>
          <w:p w14:paraId="614BED69"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0.2612</w:t>
            </w:r>
          </w:p>
        </w:tc>
        <w:tc>
          <w:tcPr>
            <w:tcW w:w="568" w:type="pct"/>
            <w:hideMark/>
          </w:tcPr>
          <w:p w14:paraId="38DFBA7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75.69459</w:t>
            </w:r>
          </w:p>
        </w:tc>
        <w:tc>
          <w:tcPr>
            <w:tcW w:w="515" w:type="pct"/>
            <w:hideMark/>
          </w:tcPr>
          <w:p w14:paraId="7A00976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1.0026</w:t>
            </w:r>
          </w:p>
        </w:tc>
        <w:tc>
          <w:tcPr>
            <w:tcW w:w="515" w:type="pct"/>
            <w:hideMark/>
          </w:tcPr>
          <w:p w14:paraId="03BE4602"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0.0176</w:t>
            </w:r>
          </w:p>
        </w:tc>
        <w:tc>
          <w:tcPr>
            <w:tcW w:w="411" w:type="pct"/>
            <w:hideMark/>
          </w:tcPr>
          <w:p w14:paraId="3590758C"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0.1643</w:t>
            </w:r>
          </w:p>
        </w:tc>
      </w:tr>
      <w:tr w:rsidR="000E06FB" w:rsidRPr="00881D4D" w14:paraId="08D78B59" w14:textId="77777777" w:rsidTr="000E06FB">
        <w:trPr>
          <w:trHeight w:val="369"/>
        </w:trPr>
        <w:tc>
          <w:tcPr>
            <w:tcW w:w="774" w:type="pct"/>
            <w:hideMark/>
          </w:tcPr>
          <w:p w14:paraId="402AB67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881D4D">
              <w:rPr>
                <w:rFonts w:ascii="Times New Roman" w:eastAsia="Times New Roman" w:hAnsi="Times New Roman" w:cs="Times New Roman"/>
                <w:color w:val="000000"/>
                <w:kern w:val="0"/>
                <w:sz w:val="24"/>
                <w:szCs w:val="24"/>
                <w14:ligatures w14:val="none"/>
              </w:rPr>
              <w:t>Tabnet</w:t>
            </w:r>
            <w:proofErr w:type="spellEnd"/>
          </w:p>
        </w:tc>
        <w:tc>
          <w:tcPr>
            <w:tcW w:w="515" w:type="pct"/>
            <w:hideMark/>
          </w:tcPr>
          <w:p w14:paraId="41A7BC3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0.820033</w:t>
            </w:r>
          </w:p>
        </w:tc>
        <w:tc>
          <w:tcPr>
            <w:tcW w:w="672" w:type="pct"/>
            <w:hideMark/>
          </w:tcPr>
          <w:p w14:paraId="5AED606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1.603</w:t>
            </w:r>
          </w:p>
        </w:tc>
        <w:tc>
          <w:tcPr>
            <w:tcW w:w="515" w:type="pct"/>
            <w:hideMark/>
          </w:tcPr>
          <w:p w14:paraId="5F982D00"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0.820033</w:t>
            </w:r>
          </w:p>
        </w:tc>
        <w:tc>
          <w:tcPr>
            <w:tcW w:w="515" w:type="pct"/>
            <w:hideMark/>
          </w:tcPr>
          <w:p w14:paraId="6C03542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0.185067</w:t>
            </w:r>
          </w:p>
        </w:tc>
        <w:tc>
          <w:tcPr>
            <w:tcW w:w="568" w:type="pct"/>
            <w:hideMark/>
          </w:tcPr>
          <w:p w14:paraId="56C15A3A"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82.003467</w:t>
            </w:r>
          </w:p>
        </w:tc>
        <w:tc>
          <w:tcPr>
            <w:tcW w:w="515" w:type="pct"/>
            <w:hideMark/>
          </w:tcPr>
          <w:p w14:paraId="52AF441A"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0.8921</w:t>
            </w:r>
          </w:p>
        </w:tc>
        <w:tc>
          <w:tcPr>
            <w:tcW w:w="515" w:type="pct"/>
            <w:hideMark/>
          </w:tcPr>
          <w:p w14:paraId="28D47BE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0.389133</w:t>
            </w:r>
          </w:p>
        </w:tc>
        <w:tc>
          <w:tcPr>
            <w:tcW w:w="411" w:type="pct"/>
            <w:hideMark/>
          </w:tcPr>
          <w:p w14:paraId="7AA21A5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0.1442</w:t>
            </w:r>
          </w:p>
        </w:tc>
      </w:tr>
      <w:tr w:rsidR="000E06FB" w:rsidRPr="00881D4D" w14:paraId="6A2373FA" w14:textId="77777777" w:rsidTr="000E06FB">
        <w:trPr>
          <w:trHeight w:val="369"/>
        </w:trPr>
        <w:tc>
          <w:tcPr>
            <w:tcW w:w="774" w:type="pct"/>
            <w:hideMark/>
          </w:tcPr>
          <w:p w14:paraId="50098BBB"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Ensemble</w:t>
            </w:r>
          </w:p>
        </w:tc>
        <w:tc>
          <w:tcPr>
            <w:tcW w:w="515" w:type="pct"/>
            <w:hideMark/>
          </w:tcPr>
          <w:p w14:paraId="194259D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0.7244</w:t>
            </w:r>
          </w:p>
        </w:tc>
        <w:tc>
          <w:tcPr>
            <w:tcW w:w="672" w:type="pct"/>
            <w:hideMark/>
          </w:tcPr>
          <w:p w14:paraId="217CEC2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0.0208</w:t>
            </w:r>
          </w:p>
        </w:tc>
        <w:tc>
          <w:tcPr>
            <w:tcW w:w="515" w:type="pct"/>
            <w:hideMark/>
          </w:tcPr>
          <w:p w14:paraId="507BD78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0.7244</w:t>
            </w:r>
          </w:p>
        </w:tc>
        <w:tc>
          <w:tcPr>
            <w:tcW w:w="515" w:type="pct"/>
            <w:hideMark/>
          </w:tcPr>
          <w:p w14:paraId="3A091816"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0.251</w:t>
            </w:r>
          </w:p>
        </w:tc>
        <w:tc>
          <w:tcPr>
            <w:tcW w:w="568" w:type="pct"/>
            <w:hideMark/>
          </w:tcPr>
          <w:p w14:paraId="09EDD1F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76.5078</w:t>
            </w:r>
          </w:p>
        </w:tc>
        <w:tc>
          <w:tcPr>
            <w:tcW w:w="515" w:type="pct"/>
            <w:hideMark/>
          </w:tcPr>
          <w:p w14:paraId="039DDA7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0.735</w:t>
            </w:r>
          </w:p>
        </w:tc>
        <w:tc>
          <w:tcPr>
            <w:tcW w:w="515" w:type="pct"/>
            <w:hideMark/>
          </w:tcPr>
          <w:p w14:paraId="59D39F6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0.4835</w:t>
            </w:r>
          </w:p>
        </w:tc>
        <w:tc>
          <w:tcPr>
            <w:tcW w:w="411" w:type="pct"/>
            <w:hideMark/>
          </w:tcPr>
          <w:p w14:paraId="269678BA"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0.2038</w:t>
            </w:r>
          </w:p>
        </w:tc>
      </w:tr>
      <w:tr w:rsidR="000E06FB" w:rsidRPr="00881D4D" w14:paraId="40862B53" w14:textId="77777777" w:rsidTr="000E06FB">
        <w:trPr>
          <w:trHeight w:val="369"/>
        </w:trPr>
        <w:tc>
          <w:tcPr>
            <w:tcW w:w="5000" w:type="pct"/>
            <w:gridSpan w:val="9"/>
            <w:hideMark/>
          </w:tcPr>
          <w:p w14:paraId="6D2529A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Testing set</w:t>
            </w:r>
          </w:p>
        </w:tc>
      </w:tr>
      <w:tr w:rsidR="000E06FB" w:rsidRPr="00881D4D" w14:paraId="299F9CF7" w14:textId="77777777" w:rsidTr="000E06FB">
        <w:trPr>
          <w:trHeight w:val="369"/>
        </w:trPr>
        <w:tc>
          <w:tcPr>
            <w:tcW w:w="774" w:type="pct"/>
          </w:tcPr>
          <w:p w14:paraId="27F93368" w14:textId="3CCDF851"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Random Forest</w:t>
            </w:r>
          </w:p>
        </w:tc>
        <w:tc>
          <w:tcPr>
            <w:tcW w:w="515" w:type="pct"/>
          </w:tcPr>
          <w:p w14:paraId="1E35E3E4" w14:textId="44BC19D6"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0.7638</w:t>
            </w:r>
          </w:p>
        </w:tc>
        <w:tc>
          <w:tcPr>
            <w:tcW w:w="672" w:type="pct"/>
          </w:tcPr>
          <w:p w14:paraId="147463C5" w14:textId="7F37FB7C"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1.91</w:t>
            </w:r>
          </w:p>
        </w:tc>
        <w:tc>
          <w:tcPr>
            <w:tcW w:w="515" w:type="pct"/>
          </w:tcPr>
          <w:p w14:paraId="50242A0C" w14:textId="21B7AE99"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0.7638</w:t>
            </w:r>
          </w:p>
        </w:tc>
        <w:tc>
          <w:tcPr>
            <w:tcW w:w="515" w:type="pct"/>
          </w:tcPr>
          <w:p w14:paraId="166DF204" w14:textId="1EB1E24D"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0.233033</w:t>
            </w:r>
          </w:p>
        </w:tc>
        <w:tc>
          <w:tcPr>
            <w:tcW w:w="568" w:type="pct"/>
          </w:tcPr>
          <w:p w14:paraId="12EA4D43" w14:textId="294358B9"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76.87</w:t>
            </w:r>
          </w:p>
        </w:tc>
        <w:tc>
          <w:tcPr>
            <w:tcW w:w="515" w:type="pct"/>
          </w:tcPr>
          <w:p w14:paraId="41A2B398" w14:textId="17AF8641"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0.990433</w:t>
            </w:r>
          </w:p>
        </w:tc>
        <w:tc>
          <w:tcPr>
            <w:tcW w:w="515" w:type="pct"/>
          </w:tcPr>
          <w:p w14:paraId="19D0A729" w14:textId="43BE254F"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0.4502</w:t>
            </w:r>
          </w:p>
        </w:tc>
        <w:tc>
          <w:tcPr>
            <w:tcW w:w="411" w:type="pct"/>
          </w:tcPr>
          <w:p w14:paraId="74A99AAC" w14:textId="70AA1C4A" w:rsidR="000E06FB" w:rsidRPr="00881D4D" w:rsidRDefault="000E06FB" w:rsidP="000E06FB">
            <w:pPr>
              <w:spacing w:line="360" w:lineRule="auto"/>
              <w:jc w:val="center"/>
              <w:rPr>
                <w:rFonts w:ascii="Times New Roman" w:eastAsia="Times New Roman" w:hAnsi="Times New Roman" w:cs="Times New Roman"/>
                <w:color w:val="000000"/>
                <w:kern w:val="0"/>
                <w:sz w:val="24"/>
                <w:szCs w:val="24"/>
                <w14:ligatures w14:val="none"/>
              </w:rPr>
            </w:pPr>
            <w:r w:rsidRPr="00881D4D">
              <w:rPr>
                <w:rFonts w:ascii="Times New Roman" w:eastAsia="Times New Roman" w:hAnsi="Times New Roman" w:cs="Times New Roman"/>
                <w:color w:val="000000"/>
                <w:kern w:val="0"/>
                <w:sz w:val="24"/>
                <w:szCs w:val="24"/>
                <w14:ligatures w14:val="none"/>
              </w:rPr>
              <w:t>0.1852</w:t>
            </w:r>
          </w:p>
        </w:tc>
      </w:tr>
      <w:tr w:rsidR="000E06FB" w:rsidRPr="00881D4D" w14:paraId="2A0D778F" w14:textId="77777777" w:rsidTr="000E06FB">
        <w:trPr>
          <w:trHeight w:val="369"/>
        </w:trPr>
        <w:tc>
          <w:tcPr>
            <w:tcW w:w="774" w:type="pct"/>
            <w:hideMark/>
          </w:tcPr>
          <w:p w14:paraId="4EE1A8C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SAINT</w:t>
            </w:r>
          </w:p>
        </w:tc>
        <w:tc>
          <w:tcPr>
            <w:tcW w:w="515" w:type="pct"/>
            <w:hideMark/>
          </w:tcPr>
          <w:p w14:paraId="4215D02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0.7839</w:t>
            </w:r>
          </w:p>
        </w:tc>
        <w:tc>
          <w:tcPr>
            <w:tcW w:w="672" w:type="pct"/>
            <w:hideMark/>
          </w:tcPr>
          <w:p w14:paraId="59E083B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1.82</w:t>
            </w:r>
          </w:p>
        </w:tc>
        <w:tc>
          <w:tcPr>
            <w:tcW w:w="515" w:type="pct"/>
            <w:hideMark/>
          </w:tcPr>
          <w:p w14:paraId="152B2D1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0.9996</w:t>
            </w:r>
          </w:p>
        </w:tc>
        <w:tc>
          <w:tcPr>
            <w:tcW w:w="515" w:type="pct"/>
            <w:hideMark/>
          </w:tcPr>
          <w:p w14:paraId="346D00F4"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0.2843</w:t>
            </w:r>
          </w:p>
        </w:tc>
        <w:tc>
          <w:tcPr>
            <w:tcW w:w="568" w:type="pct"/>
            <w:hideMark/>
          </w:tcPr>
          <w:p w14:paraId="54CA5C5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77.182561</w:t>
            </w:r>
          </w:p>
        </w:tc>
        <w:tc>
          <w:tcPr>
            <w:tcW w:w="515" w:type="pct"/>
            <w:hideMark/>
          </w:tcPr>
          <w:p w14:paraId="72447ACC"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1.0004</w:t>
            </w:r>
          </w:p>
        </w:tc>
        <w:tc>
          <w:tcPr>
            <w:tcW w:w="515" w:type="pct"/>
            <w:hideMark/>
          </w:tcPr>
          <w:p w14:paraId="4827C91D"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0.0192</w:t>
            </w:r>
          </w:p>
        </w:tc>
        <w:tc>
          <w:tcPr>
            <w:tcW w:w="411" w:type="pct"/>
            <w:hideMark/>
          </w:tcPr>
          <w:p w14:paraId="395B31A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0.178</w:t>
            </w:r>
          </w:p>
        </w:tc>
      </w:tr>
      <w:tr w:rsidR="000E06FB" w:rsidRPr="00881D4D" w14:paraId="0C7F9FB2" w14:textId="77777777" w:rsidTr="000E06FB">
        <w:trPr>
          <w:trHeight w:val="369"/>
        </w:trPr>
        <w:tc>
          <w:tcPr>
            <w:tcW w:w="774" w:type="pct"/>
            <w:hideMark/>
          </w:tcPr>
          <w:p w14:paraId="61B0812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881D4D">
              <w:rPr>
                <w:rFonts w:ascii="Times New Roman" w:eastAsia="Times New Roman" w:hAnsi="Times New Roman" w:cs="Times New Roman"/>
                <w:color w:val="000000"/>
                <w:kern w:val="0"/>
                <w:sz w:val="24"/>
                <w:szCs w:val="24"/>
                <w14:ligatures w14:val="none"/>
              </w:rPr>
              <w:t>Tabnet</w:t>
            </w:r>
            <w:proofErr w:type="spellEnd"/>
          </w:p>
        </w:tc>
        <w:tc>
          <w:tcPr>
            <w:tcW w:w="515" w:type="pct"/>
            <w:hideMark/>
          </w:tcPr>
          <w:p w14:paraId="4B5713E6"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0.7638</w:t>
            </w:r>
          </w:p>
        </w:tc>
        <w:tc>
          <w:tcPr>
            <w:tcW w:w="672" w:type="pct"/>
            <w:hideMark/>
          </w:tcPr>
          <w:p w14:paraId="66A345E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1.91</w:t>
            </w:r>
          </w:p>
        </w:tc>
        <w:tc>
          <w:tcPr>
            <w:tcW w:w="515" w:type="pct"/>
            <w:hideMark/>
          </w:tcPr>
          <w:p w14:paraId="20BCB516"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0.7638</w:t>
            </w:r>
          </w:p>
        </w:tc>
        <w:tc>
          <w:tcPr>
            <w:tcW w:w="515" w:type="pct"/>
            <w:hideMark/>
          </w:tcPr>
          <w:p w14:paraId="027BD980"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0.233033</w:t>
            </w:r>
          </w:p>
        </w:tc>
        <w:tc>
          <w:tcPr>
            <w:tcW w:w="568" w:type="pct"/>
            <w:hideMark/>
          </w:tcPr>
          <w:p w14:paraId="6453A212"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76.87</w:t>
            </w:r>
          </w:p>
        </w:tc>
        <w:tc>
          <w:tcPr>
            <w:tcW w:w="515" w:type="pct"/>
            <w:hideMark/>
          </w:tcPr>
          <w:p w14:paraId="777D6A9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0.990433</w:t>
            </w:r>
          </w:p>
        </w:tc>
        <w:tc>
          <w:tcPr>
            <w:tcW w:w="515" w:type="pct"/>
            <w:hideMark/>
          </w:tcPr>
          <w:p w14:paraId="216E78AC"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0.4502</w:t>
            </w:r>
          </w:p>
        </w:tc>
        <w:tc>
          <w:tcPr>
            <w:tcW w:w="411" w:type="pct"/>
            <w:hideMark/>
          </w:tcPr>
          <w:p w14:paraId="26182E49"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0.1852</w:t>
            </w:r>
          </w:p>
        </w:tc>
      </w:tr>
      <w:tr w:rsidR="000E06FB" w:rsidRPr="00881D4D" w14:paraId="05A510D4" w14:textId="77777777" w:rsidTr="000E06FB">
        <w:trPr>
          <w:trHeight w:val="417"/>
        </w:trPr>
        <w:tc>
          <w:tcPr>
            <w:tcW w:w="774" w:type="pct"/>
            <w:hideMark/>
          </w:tcPr>
          <w:p w14:paraId="171E320E"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Ensemble</w:t>
            </w:r>
          </w:p>
        </w:tc>
        <w:tc>
          <w:tcPr>
            <w:tcW w:w="515" w:type="pct"/>
            <w:hideMark/>
          </w:tcPr>
          <w:p w14:paraId="7C72F403"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0.713174</w:t>
            </w:r>
          </w:p>
        </w:tc>
        <w:tc>
          <w:tcPr>
            <w:tcW w:w="672" w:type="pct"/>
            <w:hideMark/>
          </w:tcPr>
          <w:p w14:paraId="61080861"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2.1</w:t>
            </w:r>
          </w:p>
        </w:tc>
        <w:tc>
          <w:tcPr>
            <w:tcW w:w="515" w:type="pct"/>
            <w:hideMark/>
          </w:tcPr>
          <w:p w14:paraId="0C3663A8"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0.7132</w:t>
            </w:r>
          </w:p>
        </w:tc>
        <w:tc>
          <w:tcPr>
            <w:tcW w:w="515" w:type="pct"/>
            <w:hideMark/>
          </w:tcPr>
          <w:p w14:paraId="1D99E585"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0.25627</w:t>
            </w:r>
          </w:p>
        </w:tc>
        <w:tc>
          <w:tcPr>
            <w:tcW w:w="568" w:type="pct"/>
            <w:hideMark/>
          </w:tcPr>
          <w:p w14:paraId="3406EFB7"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75.57</w:t>
            </w:r>
          </w:p>
        </w:tc>
        <w:tc>
          <w:tcPr>
            <w:tcW w:w="515" w:type="pct"/>
            <w:hideMark/>
          </w:tcPr>
          <w:p w14:paraId="09271580"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0.5393</w:t>
            </w:r>
          </w:p>
        </w:tc>
        <w:tc>
          <w:tcPr>
            <w:tcW w:w="515" w:type="pct"/>
            <w:hideMark/>
          </w:tcPr>
          <w:p w14:paraId="3B70970F"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0.494856</w:t>
            </w:r>
          </w:p>
        </w:tc>
        <w:tc>
          <w:tcPr>
            <w:tcW w:w="411" w:type="pct"/>
            <w:hideMark/>
          </w:tcPr>
          <w:p w14:paraId="695FDFD5" w14:textId="77777777" w:rsidR="000E06FB" w:rsidRPr="00881D4D" w:rsidRDefault="000E06FB" w:rsidP="000E06FB">
            <w:pPr>
              <w:spacing w:line="360" w:lineRule="auto"/>
              <w:jc w:val="center"/>
              <w:rPr>
                <w:rFonts w:ascii="Times New Roman" w:eastAsia="Times New Roman" w:hAnsi="Times New Roman" w:cs="Times New Roman"/>
                <w:color w:val="000000"/>
                <w:kern w:val="0"/>
                <w:sz w:val="24"/>
                <w:szCs w:val="24"/>
                <w:lang w:val="en-US"/>
                <w14:ligatures w14:val="none"/>
              </w:rPr>
            </w:pPr>
            <w:r w:rsidRPr="00881D4D">
              <w:rPr>
                <w:rFonts w:ascii="Times New Roman" w:eastAsia="Times New Roman" w:hAnsi="Times New Roman" w:cs="Times New Roman"/>
                <w:color w:val="000000"/>
                <w:kern w:val="0"/>
                <w:sz w:val="24"/>
                <w:szCs w:val="24"/>
                <w14:ligatures w14:val="none"/>
              </w:rPr>
              <w:t>0.2063</w:t>
            </w:r>
          </w:p>
        </w:tc>
      </w:tr>
    </w:tbl>
    <w:p w14:paraId="1FA9FAE0" w14:textId="77777777" w:rsidR="008D5581" w:rsidRPr="00881D4D" w:rsidRDefault="008D5581" w:rsidP="0076608F">
      <w:pPr>
        <w:spacing w:line="360" w:lineRule="auto"/>
        <w:jc w:val="both"/>
        <w:rPr>
          <w:rFonts w:ascii="Times New Roman" w:hAnsi="Times New Roman" w:cs="Times New Roman"/>
          <w:sz w:val="24"/>
          <w:szCs w:val="24"/>
        </w:rPr>
      </w:pPr>
    </w:p>
    <w:p w14:paraId="55F2F364" w14:textId="65017909" w:rsidR="000E06FB" w:rsidRPr="007D791E" w:rsidRDefault="007D791E" w:rsidP="000E06FB">
      <w:pPr>
        <w:spacing w:line="276" w:lineRule="auto"/>
        <w:rPr>
          <w:rFonts w:ascii="Times New Roman" w:hAnsi="Times New Roman" w:cs="Times New Roman"/>
          <w:bCs/>
          <w:i/>
          <w:iCs/>
          <w:sz w:val="24"/>
          <w:szCs w:val="24"/>
        </w:rPr>
      </w:pPr>
      <w:r w:rsidRPr="007D791E">
        <w:rPr>
          <w:rFonts w:ascii="Times New Roman" w:hAnsi="Times New Roman" w:cs="Times New Roman"/>
          <w:bCs/>
          <w:i/>
          <w:iCs/>
          <w:sz w:val="24"/>
          <w:szCs w:val="24"/>
        </w:rPr>
        <w:t xml:space="preserve">3.2 </w:t>
      </w:r>
      <w:r w:rsidR="000E06FB" w:rsidRPr="007D791E">
        <w:rPr>
          <w:rFonts w:ascii="Times New Roman" w:hAnsi="Times New Roman" w:cs="Times New Roman"/>
          <w:bCs/>
          <w:i/>
          <w:iCs/>
          <w:sz w:val="24"/>
          <w:szCs w:val="24"/>
        </w:rPr>
        <w:t xml:space="preserve">Feature Importance analysis </w:t>
      </w:r>
    </w:p>
    <w:p w14:paraId="7AFF2173" w14:textId="77777777" w:rsidR="00045225" w:rsidRPr="00881D4D" w:rsidRDefault="00045225" w:rsidP="00045225">
      <w:pPr>
        <w:spacing w:after="0" w:line="360" w:lineRule="auto"/>
        <w:ind w:firstLine="720"/>
        <w:jc w:val="both"/>
        <w:rPr>
          <w:rFonts w:ascii="Times New Roman" w:hAnsi="Times New Roman" w:cs="Times New Roman"/>
          <w:bCs/>
          <w:sz w:val="24"/>
          <w:szCs w:val="24"/>
        </w:rPr>
      </w:pPr>
      <w:r w:rsidRPr="00881D4D">
        <w:rPr>
          <w:rFonts w:ascii="Times New Roman" w:hAnsi="Times New Roman" w:cs="Times New Roman"/>
          <w:bCs/>
          <w:sz w:val="24"/>
          <w:szCs w:val="24"/>
        </w:rPr>
        <w:lastRenderedPageBreak/>
        <w:t>This graph illustrates the relationship between Biomedical Waste Ash (BMWA) content and the mechanical and durability properties of concrete. A consistent decrease in the compressive, tensile, and flexural strength of the concrete is observed as the percentage of BMWA is increased. The highest strength values were achieved by the control mix (0% BMWA), while a progressive reduction in all three strength measures is shown as the replacement level is elevated. This degradation of mechanical properties is clearly indicated as a result of the cement being substituted with BMWA.</w:t>
      </w:r>
    </w:p>
    <w:p w14:paraId="3F27F56D" w14:textId="374D829D" w:rsidR="00045225" w:rsidRPr="00881D4D" w:rsidRDefault="00045225" w:rsidP="00045225">
      <w:pPr>
        <w:spacing w:line="360" w:lineRule="auto"/>
        <w:ind w:firstLine="720"/>
        <w:jc w:val="both"/>
        <w:rPr>
          <w:rFonts w:ascii="Times New Roman" w:hAnsi="Times New Roman" w:cs="Times New Roman"/>
          <w:bCs/>
          <w:sz w:val="24"/>
          <w:szCs w:val="24"/>
        </w:rPr>
      </w:pPr>
      <w:r w:rsidRPr="00881D4D">
        <w:rPr>
          <w:rFonts w:ascii="Times New Roman" w:hAnsi="Times New Roman" w:cs="Times New Roman"/>
          <w:bCs/>
          <w:sz w:val="24"/>
          <w:szCs w:val="24"/>
        </w:rPr>
        <w:t>A steady reduction in permeability, measured in coulombs, is seen with increasing BMWA content. The lowest permeability value, which signifies the greatest resistance to chloride penetration, was achieved at a 15% BMWA content. This suggests that while mechanical strength is compromised, the durability of the concrete is actually enhanced by the addition of BMWA, a significant finding that should be considered for potential applications.</w:t>
      </w:r>
    </w:p>
    <w:p w14:paraId="7A76241C" w14:textId="03B272C6" w:rsidR="00466DB9" w:rsidRDefault="00466DB9" w:rsidP="00466DB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8FED0A" wp14:editId="2FA3969C">
            <wp:extent cx="2857289" cy="2143125"/>
            <wp:effectExtent l="0" t="0" r="635" b="0"/>
            <wp:docPr id="309753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53432" name="Picture 3097534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6583" cy="2150096"/>
                    </a:xfrm>
                    <a:prstGeom prst="rect">
                      <a:avLst/>
                    </a:prstGeom>
                  </pic:spPr>
                </pic:pic>
              </a:graphicData>
            </a:graphic>
          </wp:inline>
        </w:drawing>
      </w:r>
      <w:r>
        <w:rPr>
          <w:rFonts w:ascii="Times New Roman" w:hAnsi="Times New Roman" w:cs="Times New Roman"/>
          <w:noProof/>
          <w:sz w:val="24"/>
          <w:szCs w:val="24"/>
        </w:rPr>
        <w:drawing>
          <wp:inline distT="0" distB="0" distL="0" distR="0" wp14:anchorId="501841D7" wp14:editId="47C36FC4">
            <wp:extent cx="2866602" cy="2150110"/>
            <wp:effectExtent l="0" t="0" r="0" b="2540"/>
            <wp:docPr id="1503867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7634" name="Picture 15038676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8962" cy="2166881"/>
                    </a:xfrm>
                    <a:prstGeom prst="rect">
                      <a:avLst/>
                    </a:prstGeom>
                  </pic:spPr>
                </pic:pic>
              </a:graphicData>
            </a:graphic>
          </wp:inline>
        </w:drawing>
      </w:r>
    </w:p>
    <w:p w14:paraId="0A1BA894" w14:textId="5870CD05" w:rsidR="00445D81" w:rsidRPr="00881D4D" w:rsidRDefault="00466DB9" w:rsidP="0004522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7A0C6" wp14:editId="5D6D5E31">
            <wp:extent cx="2667000" cy="2000398"/>
            <wp:effectExtent l="0" t="0" r="0" b="0"/>
            <wp:docPr id="1544081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81833" name="Picture 15440818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919" cy="2007838"/>
                    </a:xfrm>
                    <a:prstGeom prst="rect">
                      <a:avLst/>
                    </a:prstGeom>
                  </pic:spPr>
                </pic:pic>
              </a:graphicData>
            </a:graphic>
          </wp:inline>
        </w:drawing>
      </w:r>
    </w:p>
    <w:p w14:paraId="3C594BB3" w14:textId="76D7B2CD" w:rsidR="00C57102" w:rsidRPr="00881D4D" w:rsidRDefault="00C57102" w:rsidP="00045225">
      <w:pPr>
        <w:spacing w:line="276" w:lineRule="auto"/>
        <w:jc w:val="center"/>
        <w:rPr>
          <w:rFonts w:ascii="Times New Roman" w:hAnsi="Times New Roman" w:cs="Times New Roman"/>
          <w:b/>
          <w:bCs/>
          <w:sz w:val="24"/>
          <w:szCs w:val="24"/>
        </w:rPr>
      </w:pPr>
      <w:r w:rsidRPr="00881D4D">
        <w:rPr>
          <w:rFonts w:ascii="Times New Roman" w:hAnsi="Times New Roman" w:cs="Times New Roman"/>
          <w:b/>
          <w:bCs/>
          <w:sz w:val="24"/>
          <w:szCs w:val="24"/>
        </w:rPr>
        <w:t>Figure 7: Feature Importance plots for CS, TS and FS</w:t>
      </w:r>
      <w:r w:rsidR="00466DB9">
        <w:rPr>
          <w:rFonts w:ascii="Times New Roman" w:hAnsi="Times New Roman" w:cs="Times New Roman"/>
          <w:b/>
          <w:bCs/>
          <w:sz w:val="24"/>
          <w:szCs w:val="24"/>
        </w:rPr>
        <w:t xml:space="preserve"> respectively</w:t>
      </w:r>
    </w:p>
    <w:p w14:paraId="77C6132A" w14:textId="4F2B870A" w:rsidR="00045225" w:rsidRPr="007D791E" w:rsidRDefault="007D791E" w:rsidP="00045225">
      <w:pPr>
        <w:spacing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3.3 </w:t>
      </w:r>
      <w:r w:rsidR="00045225" w:rsidRPr="007D791E">
        <w:rPr>
          <w:rFonts w:ascii="Times New Roman" w:hAnsi="Times New Roman" w:cs="Times New Roman"/>
          <w:i/>
          <w:iCs/>
          <w:sz w:val="24"/>
          <w:szCs w:val="24"/>
        </w:rPr>
        <w:t>Histogram</w:t>
      </w:r>
    </w:p>
    <w:p w14:paraId="0F8041E5" w14:textId="554D5DC6"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w:t>
      </w:r>
      <w:r w:rsidR="007D791E">
        <w:rPr>
          <w:rFonts w:ascii="Times New Roman" w:hAnsi="Times New Roman" w:cs="Times New Roman"/>
          <w:sz w:val="24"/>
          <w:szCs w:val="24"/>
        </w:rPr>
        <w:t xml:space="preserve">e figure </w:t>
      </w:r>
      <w:r w:rsidRPr="00881D4D">
        <w:rPr>
          <w:rFonts w:ascii="Times New Roman" w:hAnsi="Times New Roman" w:cs="Times New Roman"/>
          <w:sz w:val="24"/>
          <w:szCs w:val="24"/>
        </w:rPr>
        <w:t xml:space="preserve">illustrates the effect of adding Biomedical Waste Ash (BMWA) on the mechanical properties of concrete. A consistent reduction in compressive strength is observed </w:t>
      </w:r>
      <w:r w:rsidRPr="00881D4D">
        <w:rPr>
          <w:rFonts w:ascii="Times New Roman" w:hAnsi="Times New Roman" w:cs="Times New Roman"/>
          <w:sz w:val="24"/>
          <w:szCs w:val="24"/>
        </w:rPr>
        <w:lastRenderedPageBreak/>
        <w:t>across all curing periods (7, 14, and 28 days) as the percentage of BMWA is increased. The highest compressive strength values are consistently exhibited by the control mix, which contains no BMWA. A progressive decrease in strength is experienced as a result of the cement being substituted with the waste material.</w:t>
      </w:r>
    </w:p>
    <w:p w14:paraId="1CA088DD" w14:textId="4EC2AE1C"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A similar relationship is shown for the tensile and flexural strength of the concrete. A clear reduction in both of these properties is observed as the percentage of BMWA is elevated. Like the compressive strength, the highest tensile and flexural values at all curing ages are consistently seen in the control mix. This trend indicates that the overall mechanical performance of the concrete is compromised when a portion of the cement is replaced by BMWA.</w:t>
      </w:r>
    </w:p>
    <w:p w14:paraId="22814792" w14:textId="1527EFC2" w:rsidR="00466DB9" w:rsidRDefault="00466DB9" w:rsidP="0004522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2A1950" wp14:editId="1502F231">
            <wp:extent cx="2838450" cy="2365375"/>
            <wp:effectExtent l="0" t="0" r="0" b="0"/>
            <wp:docPr id="1970653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3588" name="Picture 1970653588"/>
                    <pic:cNvPicPr/>
                  </pic:nvPicPr>
                  <pic:blipFill>
                    <a:blip r:embed="rId10">
                      <a:extLst>
                        <a:ext uri="{28A0092B-C50C-407E-A947-70E740481C1C}">
                          <a14:useLocalDpi xmlns:a14="http://schemas.microsoft.com/office/drawing/2010/main" val="0"/>
                        </a:ext>
                      </a:extLst>
                    </a:blip>
                    <a:stretch>
                      <a:fillRect/>
                    </a:stretch>
                  </pic:blipFill>
                  <pic:spPr>
                    <a:xfrm>
                      <a:off x="0" y="0"/>
                      <a:ext cx="2839592" cy="2366327"/>
                    </a:xfrm>
                    <a:prstGeom prst="rect">
                      <a:avLst/>
                    </a:prstGeom>
                  </pic:spPr>
                </pic:pic>
              </a:graphicData>
            </a:graphic>
          </wp:inline>
        </w:drawing>
      </w:r>
      <w:r>
        <w:rPr>
          <w:rFonts w:ascii="Times New Roman" w:hAnsi="Times New Roman" w:cs="Times New Roman"/>
          <w:noProof/>
          <w:sz w:val="24"/>
          <w:szCs w:val="24"/>
        </w:rPr>
        <w:drawing>
          <wp:inline distT="0" distB="0" distL="0" distR="0" wp14:anchorId="76B268C6" wp14:editId="4F6451DE">
            <wp:extent cx="2838450" cy="2365375"/>
            <wp:effectExtent l="0" t="0" r="0" b="0"/>
            <wp:docPr id="76532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7696" name="Picture 765327696"/>
                    <pic:cNvPicPr/>
                  </pic:nvPicPr>
                  <pic:blipFill>
                    <a:blip r:embed="rId11">
                      <a:extLst>
                        <a:ext uri="{28A0092B-C50C-407E-A947-70E740481C1C}">
                          <a14:useLocalDpi xmlns:a14="http://schemas.microsoft.com/office/drawing/2010/main" val="0"/>
                        </a:ext>
                      </a:extLst>
                    </a:blip>
                    <a:stretch>
                      <a:fillRect/>
                    </a:stretch>
                  </pic:blipFill>
                  <pic:spPr>
                    <a:xfrm>
                      <a:off x="0" y="0"/>
                      <a:ext cx="2841108" cy="2367590"/>
                    </a:xfrm>
                    <a:prstGeom prst="rect">
                      <a:avLst/>
                    </a:prstGeom>
                  </pic:spPr>
                </pic:pic>
              </a:graphicData>
            </a:graphic>
          </wp:inline>
        </w:drawing>
      </w:r>
    </w:p>
    <w:p w14:paraId="59D21F92" w14:textId="2C6464F1" w:rsidR="00445D81" w:rsidRPr="00881D4D" w:rsidRDefault="00466DB9" w:rsidP="0004522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3A3320" wp14:editId="059F20FD">
            <wp:extent cx="2914650" cy="2428875"/>
            <wp:effectExtent l="0" t="0" r="0" b="9525"/>
            <wp:docPr id="1194047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7415" name="Picture 1194047415"/>
                    <pic:cNvPicPr/>
                  </pic:nvPicPr>
                  <pic:blipFill>
                    <a:blip r:embed="rId12">
                      <a:extLst>
                        <a:ext uri="{28A0092B-C50C-407E-A947-70E740481C1C}">
                          <a14:useLocalDpi xmlns:a14="http://schemas.microsoft.com/office/drawing/2010/main" val="0"/>
                        </a:ext>
                      </a:extLst>
                    </a:blip>
                    <a:stretch>
                      <a:fillRect/>
                    </a:stretch>
                  </pic:blipFill>
                  <pic:spPr>
                    <a:xfrm>
                      <a:off x="0" y="0"/>
                      <a:ext cx="2914658" cy="2428882"/>
                    </a:xfrm>
                    <a:prstGeom prst="rect">
                      <a:avLst/>
                    </a:prstGeom>
                  </pic:spPr>
                </pic:pic>
              </a:graphicData>
            </a:graphic>
          </wp:inline>
        </w:drawing>
      </w:r>
    </w:p>
    <w:p w14:paraId="377D3E2A" w14:textId="77777777" w:rsidR="00CE6450" w:rsidRDefault="00CE6450" w:rsidP="00045225">
      <w:pPr>
        <w:spacing w:line="276" w:lineRule="auto"/>
        <w:jc w:val="center"/>
        <w:rPr>
          <w:rFonts w:ascii="Times New Roman" w:hAnsi="Times New Roman" w:cs="Times New Roman"/>
          <w:sz w:val="24"/>
          <w:szCs w:val="24"/>
        </w:rPr>
      </w:pPr>
    </w:p>
    <w:p w14:paraId="0303F9AD" w14:textId="5593D1F3" w:rsidR="00445D81" w:rsidRPr="00466DB9" w:rsidRDefault="00C57102" w:rsidP="00045225">
      <w:pPr>
        <w:spacing w:line="276" w:lineRule="auto"/>
        <w:jc w:val="center"/>
        <w:rPr>
          <w:rFonts w:ascii="Times New Roman" w:hAnsi="Times New Roman" w:cs="Times New Roman"/>
          <w:b/>
          <w:bCs/>
          <w:sz w:val="24"/>
          <w:szCs w:val="24"/>
        </w:rPr>
      </w:pPr>
      <w:r w:rsidRPr="00466DB9">
        <w:rPr>
          <w:rFonts w:ascii="Times New Roman" w:hAnsi="Times New Roman" w:cs="Times New Roman"/>
          <w:b/>
          <w:bCs/>
          <w:sz w:val="24"/>
          <w:szCs w:val="24"/>
        </w:rPr>
        <w:t xml:space="preserve">Figure 8: Histogram depicting </w:t>
      </w:r>
      <w:r w:rsidR="00367B94" w:rsidRPr="00466DB9">
        <w:rPr>
          <w:rFonts w:ascii="Times New Roman" w:hAnsi="Times New Roman" w:cs="Times New Roman"/>
          <w:b/>
          <w:bCs/>
          <w:sz w:val="24"/>
          <w:szCs w:val="24"/>
        </w:rPr>
        <w:t xml:space="preserve">frequency versus CS, TS and FS </w:t>
      </w:r>
      <w:r w:rsidR="00466DB9" w:rsidRPr="00466DB9">
        <w:rPr>
          <w:rFonts w:ascii="Times New Roman" w:hAnsi="Times New Roman" w:cs="Times New Roman"/>
          <w:b/>
          <w:bCs/>
          <w:sz w:val="24"/>
          <w:szCs w:val="24"/>
        </w:rPr>
        <w:t>respectively</w:t>
      </w:r>
    </w:p>
    <w:p w14:paraId="343FBFCF" w14:textId="4E36D2B8" w:rsidR="006A3DE1" w:rsidRPr="007D791E" w:rsidRDefault="007D791E" w:rsidP="00045225">
      <w:pPr>
        <w:spacing w:after="0"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3.4 </w:t>
      </w:r>
      <w:r w:rsidR="00045225" w:rsidRPr="007D791E">
        <w:rPr>
          <w:rFonts w:ascii="Times New Roman" w:hAnsi="Times New Roman" w:cs="Times New Roman"/>
          <w:i/>
          <w:iCs/>
          <w:sz w:val="24"/>
          <w:szCs w:val="24"/>
        </w:rPr>
        <w:t>Box Plot</w:t>
      </w:r>
    </w:p>
    <w:p w14:paraId="396AC578" w14:textId="61CE1624" w:rsidR="0000162C" w:rsidRPr="0000162C" w:rsidRDefault="0000162C" w:rsidP="0000162C">
      <w:pPr>
        <w:spacing w:line="276" w:lineRule="auto"/>
        <w:jc w:val="both"/>
        <w:rPr>
          <w:rFonts w:ascii="Times New Roman" w:hAnsi="Times New Roman" w:cs="Times New Roman"/>
          <w:noProof/>
          <w:sz w:val="24"/>
          <w:szCs w:val="24"/>
        </w:rPr>
      </w:pPr>
      <w:r w:rsidRPr="0000162C">
        <w:rPr>
          <w:rFonts w:ascii="Times New Roman" w:hAnsi="Times New Roman" w:cs="Times New Roman"/>
          <w:noProof/>
          <w:sz w:val="24"/>
          <w:szCs w:val="24"/>
        </w:rPr>
        <w:lastRenderedPageBreak/>
        <w:t>The boxplots presented in Figure</w:t>
      </w:r>
      <w:r>
        <w:rPr>
          <w:rFonts w:ascii="Times New Roman" w:hAnsi="Times New Roman" w:cs="Times New Roman"/>
          <w:noProof/>
          <w:sz w:val="24"/>
          <w:szCs w:val="24"/>
        </w:rPr>
        <w:t xml:space="preserve"> 11</w:t>
      </w:r>
      <w:r w:rsidRPr="0000162C">
        <w:rPr>
          <w:rFonts w:ascii="Times New Roman" w:hAnsi="Times New Roman" w:cs="Times New Roman"/>
          <w:noProof/>
          <w:sz w:val="24"/>
          <w:szCs w:val="24"/>
        </w:rPr>
        <w:t xml:space="preserve"> depict the influence of biomedical waste ash (BWA) incorporation on the 28-day compressive, tensile, and flexural strengths of concrete. A consistent downward trend is observed across all three strength parameters, with median values generally decreasing as the percentage of BWA increases. This indicates a negative correlation between BWA content and mechanical performance. While compressive strength exhibits a more uniform decline, the tensile and flexural strengths display minor fluctuations at intermediate replacement levels, suggesting that limited substitution may not severely compromise strength.</w:t>
      </w:r>
    </w:p>
    <w:p w14:paraId="50265340" w14:textId="77777777" w:rsidR="0000162C" w:rsidRPr="0000162C" w:rsidRDefault="0000162C" w:rsidP="0000162C">
      <w:pPr>
        <w:spacing w:line="276" w:lineRule="auto"/>
        <w:jc w:val="both"/>
        <w:rPr>
          <w:rFonts w:ascii="Times New Roman" w:hAnsi="Times New Roman" w:cs="Times New Roman"/>
          <w:noProof/>
          <w:sz w:val="24"/>
          <w:szCs w:val="24"/>
        </w:rPr>
      </w:pPr>
      <w:r w:rsidRPr="0000162C">
        <w:rPr>
          <w:rFonts w:ascii="Times New Roman" w:hAnsi="Times New Roman" w:cs="Times New Roman"/>
          <w:noProof/>
          <w:sz w:val="24"/>
          <w:szCs w:val="24"/>
        </w:rPr>
        <w:t>Despite the presence of outliers reflecting experimental variability, the overall patterns remain evident. Higher BWA replacement levels result in reduced strength characteristics, confirming that excessive incorporation adversely affects compressive, tensile, and flexural performance. These findings imply that BWA may be suitable as a partial replacement in concrete production; however, its usage must be carefully optimized to balance sustainability benefits with the structural requirements of concrete.</w:t>
      </w:r>
    </w:p>
    <w:p w14:paraId="5BBF017F" w14:textId="77777777" w:rsidR="00045225" w:rsidRPr="00881D4D" w:rsidRDefault="00045225" w:rsidP="0076608F">
      <w:pPr>
        <w:spacing w:line="276" w:lineRule="auto"/>
        <w:rPr>
          <w:rFonts w:ascii="Times New Roman" w:hAnsi="Times New Roman" w:cs="Times New Roman"/>
          <w:sz w:val="24"/>
          <w:szCs w:val="24"/>
        </w:rPr>
      </w:pPr>
    </w:p>
    <w:p w14:paraId="41A85B9A" w14:textId="77777777" w:rsidR="006005B1" w:rsidRPr="00881D4D" w:rsidRDefault="006005B1" w:rsidP="0076608F">
      <w:pPr>
        <w:spacing w:line="276" w:lineRule="auto"/>
        <w:rPr>
          <w:rFonts w:ascii="Times New Roman" w:hAnsi="Times New Roman" w:cs="Times New Roman"/>
          <w:noProof/>
          <w:sz w:val="24"/>
          <w:szCs w:val="24"/>
        </w:rPr>
      </w:pPr>
      <w:r w:rsidRPr="00881D4D">
        <w:rPr>
          <w:rFonts w:ascii="Times New Roman" w:hAnsi="Times New Roman" w:cs="Times New Roman"/>
          <w:noProof/>
          <w:sz w:val="24"/>
          <w:szCs w:val="24"/>
        </w:rPr>
        <w:drawing>
          <wp:inline distT="0" distB="0" distL="0" distR="0" wp14:anchorId="2A5B8F86" wp14:editId="7679025E">
            <wp:extent cx="5731510" cy="2740025"/>
            <wp:effectExtent l="0" t="0" r="2540" b="3175"/>
            <wp:docPr id="1317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7571" name="Picture 1317757571"/>
                    <pic:cNvPicPr/>
                  </pic:nvPicPr>
                  <pic:blipFill>
                    <a:blip r:embed="rId13">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0BE983FE" w14:textId="77777777" w:rsidR="006005B1" w:rsidRPr="00881D4D" w:rsidRDefault="006005B1" w:rsidP="0076608F">
      <w:pPr>
        <w:spacing w:line="276" w:lineRule="auto"/>
        <w:rPr>
          <w:rFonts w:ascii="Times New Roman" w:hAnsi="Times New Roman" w:cs="Times New Roman"/>
          <w:noProof/>
          <w:sz w:val="24"/>
          <w:szCs w:val="24"/>
        </w:rPr>
      </w:pPr>
      <w:r w:rsidRPr="00881D4D">
        <w:rPr>
          <w:rFonts w:ascii="Times New Roman" w:hAnsi="Times New Roman" w:cs="Times New Roman"/>
          <w:noProof/>
          <w:sz w:val="24"/>
          <w:szCs w:val="24"/>
        </w:rPr>
        <w:lastRenderedPageBreak/>
        <w:drawing>
          <wp:inline distT="0" distB="0" distL="0" distR="0" wp14:anchorId="3597EA11" wp14:editId="4F424604">
            <wp:extent cx="5731510" cy="2740025"/>
            <wp:effectExtent l="0" t="0" r="2540" b="3175"/>
            <wp:docPr id="1036689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9143" name="Picture 1036689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398715F" w14:textId="72CF0B18" w:rsidR="006005B1" w:rsidRPr="00881D4D" w:rsidRDefault="006005B1" w:rsidP="00045225">
      <w:pPr>
        <w:spacing w:line="276" w:lineRule="auto"/>
        <w:jc w:val="center"/>
        <w:rPr>
          <w:rFonts w:ascii="Times New Roman" w:hAnsi="Times New Roman" w:cs="Times New Roman"/>
          <w:noProof/>
          <w:sz w:val="24"/>
          <w:szCs w:val="24"/>
        </w:rPr>
      </w:pPr>
      <w:r w:rsidRPr="00881D4D">
        <w:rPr>
          <w:rFonts w:ascii="Times New Roman" w:hAnsi="Times New Roman" w:cs="Times New Roman"/>
          <w:noProof/>
          <w:sz w:val="24"/>
          <w:szCs w:val="24"/>
        </w:rPr>
        <w:drawing>
          <wp:inline distT="0" distB="0" distL="0" distR="0" wp14:anchorId="64BD94C9" wp14:editId="51002934">
            <wp:extent cx="5731510" cy="2740025"/>
            <wp:effectExtent l="0" t="0" r="2540" b="3175"/>
            <wp:docPr id="68349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4760" name="Picture 68349476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E0BFA23" w14:textId="4026A86C" w:rsidR="006005B1" w:rsidRPr="00881D4D" w:rsidRDefault="006005B1" w:rsidP="00045225">
      <w:pPr>
        <w:spacing w:line="276" w:lineRule="auto"/>
        <w:jc w:val="center"/>
        <w:rPr>
          <w:rFonts w:ascii="Times New Roman" w:hAnsi="Times New Roman" w:cs="Times New Roman"/>
          <w:noProof/>
          <w:sz w:val="24"/>
          <w:szCs w:val="24"/>
        </w:rPr>
      </w:pPr>
      <w:r w:rsidRPr="00881D4D">
        <w:rPr>
          <w:rFonts w:ascii="Times New Roman" w:hAnsi="Times New Roman" w:cs="Times New Roman"/>
          <w:noProof/>
          <w:sz w:val="24"/>
          <w:szCs w:val="24"/>
        </w:rPr>
        <w:t>Figure 11: Box plots of CS, TS, FS vs Biomedical Waste Ash(%)</w:t>
      </w:r>
    </w:p>
    <w:p w14:paraId="0552EA21" w14:textId="67E42649" w:rsidR="006005B1" w:rsidRPr="007D791E" w:rsidRDefault="007D791E" w:rsidP="0076608F">
      <w:pPr>
        <w:spacing w:line="276" w:lineRule="auto"/>
        <w:rPr>
          <w:rFonts w:ascii="Times New Roman" w:hAnsi="Times New Roman" w:cs="Times New Roman"/>
          <w:i/>
          <w:iCs/>
          <w:noProof/>
          <w:sz w:val="24"/>
          <w:szCs w:val="24"/>
        </w:rPr>
      </w:pPr>
      <w:r w:rsidRPr="007D791E">
        <w:rPr>
          <w:rFonts w:ascii="Times New Roman" w:hAnsi="Times New Roman" w:cs="Times New Roman"/>
          <w:i/>
          <w:iCs/>
          <w:noProof/>
          <w:sz w:val="24"/>
          <w:szCs w:val="24"/>
        </w:rPr>
        <w:t xml:space="preserve">3.5 </w:t>
      </w:r>
      <w:r w:rsidR="00045225" w:rsidRPr="007D791E">
        <w:rPr>
          <w:rFonts w:ascii="Times New Roman" w:hAnsi="Times New Roman" w:cs="Times New Roman"/>
          <w:i/>
          <w:iCs/>
          <w:noProof/>
          <w:sz w:val="24"/>
          <w:szCs w:val="24"/>
        </w:rPr>
        <w:t>Radar plot</w:t>
      </w:r>
    </w:p>
    <w:p w14:paraId="32F1FD79"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radar chart compares the normalized training performance metrics of four models: Random Forest, Saint,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and an Ensemble model. Each axis represents a different evaluation metric such as R², RMSE, MAE, and others, showing the strengths and weaknesses of each model. The visualization highlights that Saint performs best on NS and RMSE, while Random Forest and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excel in LMI and VAF, and the Ensemble model has higher values in MAE and RSR.</w:t>
      </w:r>
    </w:p>
    <w:p w14:paraId="1F3DCEC5" w14:textId="762A1DCD"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radar chart illustrates the normalized testing performance metrics for Random Forest, Saint,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and Ensemble models. Each axis represents a specific metric, such as R², RMSE, and MAE, showcasing the models' comparative performance. Saint achieves the </w:t>
      </w:r>
      <w:r w:rsidRPr="00881D4D">
        <w:rPr>
          <w:rFonts w:ascii="Times New Roman" w:hAnsi="Times New Roman" w:cs="Times New Roman"/>
          <w:sz w:val="24"/>
          <w:szCs w:val="24"/>
        </w:rPr>
        <w:lastRenderedPageBreak/>
        <w:t xml:space="preserve">highest values for NS and RMSE, </w:t>
      </w:r>
      <w:proofErr w:type="spellStart"/>
      <w:r w:rsidRPr="00881D4D">
        <w:rPr>
          <w:rFonts w:ascii="Times New Roman" w:hAnsi="Times New Roman" w:cs="Times New Roman"/>
          <w:sz w:val="24"/>
          <w:szCs w:val="24"/>
        </w:rPr>
        <w:t>Tabnet</w:t>
      </w:r>
      <w:proofErr w:type="spellEnd"/>
      <w:r w:rsidRPr="00881D4D">
        <w:rPr>
          <w:rFonts w:ascii="Times New Roman" w:hAnsi="Times New Roman" w:cs="Times New Roman"/>
          <w:sz w:val="24"/>
          <w:szCs w:val="24"/>
        </w:rPr>
        <w:t xml:space="preserve"> performs consistently well across R² and LMI, while the Ensemble model shows stronger performance in MAE and RSR.</w:t>
      </w:r>
    </w:p>
    <w:p w14:paraId="2CD9997A" w14:textId="4B48EF7A" w:rsidR="00527B04" w:rsidRPr="00881D4D" w:rsidRDefault="006005B1"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1450887D" wp14:editId="0D56FE7B">
            <wp:extent cx="2867831" cy="2247900"/>
            <wp:effectExtent l="0" t="0" r="8890" b="0"/>
            <wp:docPr id="127476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9692" name="Picture 1274769692"/>
                    <pic:cNvPicPr/>
                  </pic:nvPicPr>
                  <pic:blipFill rotWithShape="1">
                    <a:blip r:embed="rId16" cstate="print">
                      <a:extLst>
                        <a:ext uri="{28A0092B-C50C-407E-A947-70E740481C1C}">
                          <a14:useLocalDpi xmlns:a14="http://schemas.microsoft.com/office/drawing/2010/main" val="0"/>
                        </a:ext>
                      </a:extLst>
                    </a:blip>
                    <a:srcRect l="18115" r="21393"/>
                    <a:stretch>
                      <a:fillRect/>
                    </a:stretch>
                  </pic:blipFill>
                  <pic:spPr bwMode="auto">
                    <a:xfrm>
                      <a:off x="0" y="0"/>
                      <a:ext cx="2878120" cy="2255965"/>
                    </a:xfrm>
                    <a:prstGeom prst="rect">
                      <a:avLst/>
                    </a:prstGeom>
                    <a:ln>
                      <a:noFill/>
                    </a:ln>
                    <a:extLst>
                      <a:ext uri="{53640926-AAD7-44D8-BBD7-CCE9431645EC}">
                        <a14:shadowObscured xmlns:a14="http://schemas.microsoft.com/office/drawing/2010/main"/>
                      </a:ext>
                    </a:extLst>
                  </pic:spPr>
                </pic:pic>
              </a:graphicData>
            </a:graphic>
          </wp:inline>
        </w:drawing>
      </w:r>
      <w:r w:rsidRPr="00881D4D">
        <w:rPr>
          <w:rFonts w:ascii="Times New Roman" w:hAnsi="Times New Roman" w:cs="Times New Roman"/>
          <w:noProof/>
          <w:sz w:val="24"/>
          <w:szCs w:val="24"/>
        </w:rPr>
        <w:drawing>
          <wp:inline distT="0" distB="0" distL="0" distR="0" wp14:anchorId="3B5C0181" wp14:editId="1957003C">
            <wp:extent cx="2692408" cy="2076450"/>
            <wp:effectExtent l="0" t="0" r="0" b="0"/>
            <wp:docPr id="1380065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5883" name="Picture 1380065883"/>
                    <pic:cNvPicPr/>
                  </pic:nvPicPr>
                  <pic:blipFill rotWithShape="1">
                    <a:blip r:embed="rId17" cstate="print">
                      <a:extLst>
                        <a:ext uri="{28A0092B-C50C-407E-A947-70E740481C1C}">
                          <a14:useLocalDpi xmlns:a14="http://schemas.microsoft.com/office/drawing/2010/main" val="0"/>
                        </a:ext>
                      </a:extLst>
                    </a:blip>
                    <a:srcRect l="18447" r="19566"/>
                    <a:stretch>
                      <a:fillRect/>
                    </a:stretch>
                  </pic:blipFill>
                  <pic:spPr bwMode="auto">
                    <a:xfrm>
                      <a:off x="0" y="0"/>
                      <a:ext cx="2703732" cy="2085183"/>
                    </a:xfrm>
                    <a:prstGeom prst="rect">
                      <a:avLst/>
                    </a:prstGeom>
                    <a:ln>
                      <a:noFill/>
                    </a:ln>
                    <a:extLst>
                      <a:ext uri="{53640926-AAD7-44D8-BBD7-CCE9431645EC}">
                        <a14:shadowObscured xmlns:a14="http://schemas.microsoft.com/office/drawing/2010/main"/>
                      </a:ext>
                    </a:extLst>
                  </pic:spPr>
                </pic:pic>
              </a:graphicData>
            </a:graphic>
          </wp:inline>
        </w:drawing>
      </w:r>
    </w:p>
    <w:p w14:paraId="2790A4AF" w14:textId="151EBBDB" w:rsidR="00045225" w:rsidRPr="00881D4D" w:rsidRDefault="006005B1"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12: Radar Chart for Train and Test Performance Metrics</w:t>
      </w:r>
    </w:p>
    <w:p w14:paraId="730A93EE" w14:textId="7A6F6DBF" w:rsidR="00045225" w:rsidRPr="007D791E" w:rsidRDefault="007D791E" w:rsidP="00045225">
      <w:pPr>
        <w:spacing w:after="0" w:line="276" w:lineRule="auto"/>
        <w:rPr>
          <w:rFonts w:ascii="Times New Roman" w:hAnsi="Times New Roman" w:cs="Times New Roman"/>
          <w:i/>
          <w:iCs/>
          <w:noProof/>
          <w:sz w:val="24"/>
          <w:szCs w:val="24"/>
        </w:rPr>
      </w:pPr>
      <w:r w:rsidRPr="007D791E">
        <w:rPr>
          <w:rFonts w:ascii="Times New Roman" w:hAnsi="Times New Roman" w:cs="Times New Roman"/>
          <w:i/>
          <w:iCs/>
          <w:noProof/>
          <w:sz w:val="24"/>
          <w:szCs w:val="24"/>
        </w:rPr>
        <w:t xml:space="preserve">3.6 </w:t>
      </w:r>
      <w:r w:rsidR="00045225" w:rsidRPr="007D791E">
        <w:rPr>
          <w:rFonts w:ascii="Times New Roman" w:hAnsi="Times New Roman" w:cs="Times New Roman"/>
          <w:i/>
          <w:iCs/>
          <w:noProof/>
          <w:sz w:val="24"/>
          <w:szCs w:val="24"/>
        </w:rPr>
        <w:t>3D Surface Plot</w:t>
      </w:r>
    </w:p>
    <w:p w14:paraId="77DA00CD" w14:textId="77777777" w:rsidR="00045225" w:rsidRPr="00881D4D" w:rsidRDefault="00045225" w:rsidP="00045225">
      <w:pPr>
        <w:spacing w:after="0"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3D surface plots show the combined effect of Cement content (kg/m³) and Biomedical Waste Ash (BMWA%) on the mechanical performance of concrete at 28 days, considering compressive strength (CS), tensile strength (TS), and flexural strength (FS). In all three graphs, the vertical axis corresponds to the strength values, while the colour scale provides a gradient for easier interpretation. The surfaces clearly indicate that higher cement content generally leads to higher strength, while increasing BMWA% beyond a certain limit causes a sharp decline in performance. This demonstrates the trade-off between cement reduction and BMWA incorporation.</w:t>
      </w:r>
    </w:p>
    <w:p w14:paraId="0309DC08" w14:textId="03FF1FC4" w:rsidR="00045225" w:rsidRPr="00881D4D" w:rsidRDefault="00045225" w:rsidP="00045225">
      <w:pPr>
        <w:spacing w:line="360" w:lineRule="auto"/>
        <w:jc w:val="both"/>
        <w:rPr>
          <w:rFonts w:ascii="Times New Roman" w:hAnsi="Times New Roman" w:cs="Times New Roman"/>
          <w:sz w:val="24"/>
          <w:szCs w:val="24"/>
        </w:rPr>
      </w:pPr>
      <w:r w:rsidRPr="00881D4D">
        <w:rPr>
          <w:rFonts w:ascii="Times New Roman" w:hAnsi="Times New Roman" w:cs="Times New Roman"/>
          <w:sz w:val="24"/>
          <w:szCs w:val="24"/>
        </w:rPr>
        <w:t>`</w:t>
      </w:r>
      <w:r w:rsidRPr="00881D4D">
        <w:rPr>
          <w:rFonts w:ascii="Times New Roman" w:hAnsi="Times New Roman" w:cs="Times New Roman"/>
          <w:sz w:val="24"/>
          <w:szCs w:val="24"/>
        </w:rPr>
        <w:tab/>
        <w:t>For compressive strength (left graph), the highest values (~37 MPa) are observed at higher cement dosages with low BMWA content, whereas strength drops drastically when BMWA exceeds 10%. A similar trend is observed in tensile strength and flexural strength (middle and right graphs), where optimal results occur in mixes with relatively high cement and low BMWA%. However, the rate of decline differs—tensile and flexural strengths appear slightly more resilient to BMWA addition compared to compressive strength. Overall, these plots emphasize that while BMWA can be used as a sustainable partial replacement, its proportion must be carefully controlled to maintain structural performance.</w:t>
      </w:r>
    </w:p>
    <w:p w14:paraId="6F88EF92" w14:textId="77777777" w:rsidR="00302DFF" w:rsidRDefault="00302DFF" w:rsidP="00045225">
      <w:pPr>
        <w:spacing w:line="276" w:lineRule="auto"/>
        <w:jc w:val="center"/>
        <w:rPr>
          <w:rFonts w:ascii="Times New Roman" w:hAnsi="Times New Roman" w:cs="Times New Roman"/>
          <w:noProof/>
          <w:sz w:val="24"/>
          <w:szCs w:val="24"/>
        </w:rPr>
      </w:pPr>
    </w:p>
    <w:p w14:paraId="392B6109" w14:textId="77777777" w:rsidR="00302DFF" w:rsidRDefault="00302DFF" w:rsidP="00045225">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F3AB48" wp14:editId="63628D1C">
            <wp:extent cx="2598681" cy="2289175"/>
            <wp:effectExtent l="0" t="0" r="0" b="0"/>
            <wp:docPr id="1384972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72262" name="Picture 1384972262"/>
                    <pic:cNvPicPr/>
                  </pic:nvPicPr>
                  <pic:blipFill rotWithShape="1">
                    <a:blip r:embed="rId18">
                      <a:extLst>
                        <a:ext uri="{28A0092B-C50C-407E-A947-70E740481C1C}">
                          <a14:useLocalDpi xmlns:a14="http://schemas.microsoft.com/office/drawing/2010/main" val="0"/>
                        </a:ext>
                      </a:extLst>
                    </a:blip>
                    <a:srcRect l="13461" t="5318" r="12586" b="7829"/>
                    <a:stretch>
                      <a:fillRect/>
                    </a:stretch>
                  </pic:blipFill>
                  <pic:spPr bwMode="auto">
                    <a:xfrm>
                      <a:off x="0" y="0"/>
                      <a:ext cx="2604437" cy="22942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AEE1616" wp14:editId="0977E5F2">
            <wp:extent cx="2609850" cy="2307595"/>
            <wp:effectExtent l="0" t="0" r="0" b="0"/>
            <wp:docPr id="1476081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1688" name="Picture 1476081688"/>
                    <pic:cNvPicPr/>
                  </pic:nvPicPr>
                  <pic:blipFill rotWithShape="1">
                    <a:blip r:embed="rId19">
                      <a:extLst>
                        <a:ext uri="{28A0092B-C50C-407E-A947-70E740481C1C}">
                          <a14:useLocalDpi xmlns:a14="http://schemas.microsoft.com/office/drawing/2010/main" val="0"/>
                        </a:ext>
                      </a:extLst>
                    </a:blip>
                    <a:srcRect l="13960" t="4430" r="11423" b="7607"/>
                    <a:stretch>
                      <a:fillRect/>
                    </a:stretch>
                  </pic:blipFill>
                  <pic:spPr bwMode="auto">
                    <a:xfrm>
                      <a:off x="0" y="0"/>
                      <a:ext cx="2621749" cy="2318116"/>
                    </a:xfrm>
                    <a:prstGeom prst="rect">
                      <a:avLst/>
                    </a:prstGeom>
                    <a:ln>
                      <a:noFill/>
                    </a:ln>
                    <a:extLst>
                      <a:ext uri="{53640926-AAD7-44D8-BBD7-CCE9431645EC}">
                        <a14:shadowObscured xmlns:a14="http://schemas.microsoft.com/office/drawing/2010/main"/>
                      </a:ext>
                    </a:extLst>
                  </pic:spPr>
                </pic:pic>
              </a:graphicData>
            </a:graphic>
          </wp:inline>
        </w:drawing>
      </w:r>
    </w:p>
    <w:p w14:paraId="67F9A569" w14:textId="77777777" w:rsidR="00302DFF" w:rsidRDefault="00302DFF" w:rsidP="00045225">
      <w:pPr>
        <w:spacing w:line="276" w:lineRule="auto"/>
        <w:jc w:val="center"/>
        <w:rPr>
          <w:rFonts w:ascii="Times New Roman" w:hAnsi="Times New Roman" w:cs="Times New Roman"/>
          <w:noProof/>
          <w:sz w:val="24"/>
          <w:szCs w:val="24"/>
        </w:rPr>
      </w:pPr>
    </w:p>
    <w:p w14:paraId="2C4AC62C" w14:textId="3144D851" w:rsidR="00045225" w:rsidRPr="00302DFF" w:rsidRDefault="00302DFF" w:rsidP="00045225">
      <w:pPr>
        <w:spacing w:line="276" w:lineRule="auto"/>
        <w:jc w:val="center"/>
        <w:rPr>
          <w:rFonts w:ascii="Times New Roman" w:hAnsi="Times New Roman" w:cs="Times New Roman"/>
          <w:b/>
          <w:bCs/>
          <w:sz w:val="24"/>
          <w:szCs w:val="24"/>
        </w:rPr>
      </w:pPr>
      <w:r w:rsidRPr="00302DFF">
        <w:rPr>
          <w:rFonts w:ascii="Times New Roman" w:hAnsi="Times New Roman" w:cs="Times New Roman"/>
          <w:b/>
          <w:bCs/>
          <w:noProof/>
          <w:sz w:val="24"/>
          <w:szCs w:val="24"/>
        </w:rPr>
        <w:drawing>
          <wp:inline distT="0" distB="0" distL="0" distR="0" wp14:anchorId="6F6657C4" wp14:editId="43923A91">
            <wp:extent cx="2762250" cy="2445678"/>
            <wp:effectExtent l="0" t="0" r="0" b="0"/>
            <wp:docPr id="1910079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928" name="Picture 191007928"/>
                    <pic:cNvPicPr/>
                  </pic:nvPicPr>
                  <pic:blipFill rotWithShape="1">
                    <a:blip r:embed="rId20">
                      <a:extLst>
                        <a:ext uri="{28A0092B-C50C-407E-A947-70E740481C1C}">
                          <a14:useLocalDpi xmlns:a14="http://schemas.microsoft.com/office/drawing/2010/main" val="0"/>
                        </a:ext>
                      </a:extLst>
                    </a:blip>
                    <a:srcRect l="13794" t="4654" r="12253" b="8050"/>
                    <a:stretch>
                      <a:fillRect/>
                    </a:stretch>
                  </pic:blipFill>
                  <pic:spPr bwMode="auto">
                    <a:xfrm>
                      <a:off x="0" y="0"/>
                      <a:ext cx="2771969" cy="2454283"/>
                    </a:xfrm>
                    <a:prstGeom prst="rect">
                      <a:avLst/>
                    </a:prstGeom>
                    <a:ln>
                      <a:noFill/>
                    </a:ln>
                    <a:extLst>
                      <a:ext uri="{53640926-AAD7-44D8-BBD7-CCE9431645EC}">
                        <a14:shadowObscured xmlns:a14="http://schemas.microsoft.com/office/drawing/2010/main"/>
                      </a:ext>
                    </a:extLst>
                  </pic:spPr>
                </pic:pic>
              </a:graphicData>
            </a:graphic>
          </wp:inline>
        </w:drawing>
      </w:r>
    </w:p>
    <w:p w14:paraId="4BA14BDA" w14:textId="1C31E3F5" w:rsidR="00045225" w:rsidRPr="00302DFF" w:rsidRDefault="00045225" w:rsidP="00045225">
      <w:pPr>
        <w:spacing w:line="276" w:lineRule="auto"/>
        <w:jc w:val="center"/>
        <w:rPr>
          <w:rFonts w:ascii="Times New Roman" w:hAnsi="Times New Roman" w:cs="Times New Roman"/>
          <w:b/>
          <w:bCs/>
          <w:sz w:val="24"/>
          <w:szCs w:val="24"/>
        </w:rPr>
      </w:pPr>
      <w:r w:rsidRPr="00302DFF">
        <w:rPr>
          <w:rFonts w:ascii="Times New Roman" w:hAnsi="Times New Roman" w:cs="Times New Roman"/>
          <w:b/>
          <w:bCs/>
          <w:sz w:val="24"/>
          <w:szCs w:val="24"/>
        </w:rPr>
        <w:t>Figure 3: 3D surface Plots for CS, TS, FS</w:t>
      </w:r>
      <w:r w:rsidR="00302DFF" w:rsidRPr="00302DFF">
        <w:rPr>
          <w:rFonts w:ascii="Times New Roman" w:hAnsi="Times New Roman" w:cs="Times New Roman"/>
          <w:b/>
          <w:bCs/>
          <w:sz w:val="24"/>
          <w:szCs w:val="24"/>
        </w:rPr>
        <w:t xml:space="preserve"> respectively</w:t>
      </w:r>
    </w:p>
    <w:p w14:paraId="05E7CECA" w14:textId="2476FFBD" w:rsidR="00045225" w:rsidRPr="007D791E" w:rsidRDefault="007D791E" w:rsidP="007D791E">
      <w:pPr>
        <w:spacing w:after="0" w:line="276" w:lineRule="auto"/>
        <w:rPr>
          <w:rFonts w:ascii="Times New Roman" w:hAnsi="Times New Roman" w:cs="Times New Roman"/>
          <w:i/>
          <w:iCs/>
          <w:sz w:val="24"/>
          <w:szCs w:val="24"/>
        </w:rPr>
      </w:pPr>
      <w:r w:rsidRPr="007D791E">
        <w:rPr>
          <w:rFonts w:ascii="Times New Roman" w:hAnsi="Times New Roman" w:cs="Times New Roman"/>
          <w:i/>
          <w:iCs/>
          <w:sz w:val="24"/>
          <w:szCs w:val="24"/>
        </w:rPr>
        <w:t xml:space="preserve">3.7 </w:t>
      </w:r>
      <w:r w:rsidR="00045225" w:rsidRPr="007D791E">
        <w:rPr>
          <w:rFonts w:ascii="Times New Roman" w:hAnsi="Times New Roman" w:cs="Times New Roman"/>
          <w:i/>
          <w:iCs/>
          <w:sz w:val="24"/>
          <w:szCs w:val="24"/>
        </w:rPr>
        <w:t>Error analysis</w:t>
      </w:r>
    </w:p>
    <w:p w14:paraId="28F4DC6C"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This error analysis provides a detailed look into the predictive performance of the four models used to estimate compressive, tensile, and flexural strength. It can be observed that the Mean Absolute Error (MAE) and Mean Squared Error (MSE) values are exceptionally low across all models, confirming that the predictions are very close to the actual experimental values. A clear distinction emerges in model performance, where the Random Forest and SVR models consistently demonstrate the lowest error metrics, indicating their superior accuracy and reliability for this specific task. In contrast, the Decision Tree model shows slightly higher error values, particularly for compressive strength, suggesting it may be less robust or prone to overfitting the training data, a common characteristic of this algorithm.</w:t>
      </w:r>
    </w:p>
    <w:p w14:paraId="54B041D1" w14:textId="7D6DD586"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error distribution plots provide further confirmation of the models' effectiveness. These plots reveal that the majority of prediction errors are tightly clustered around zero, </w:t>
      </w:r>
      <w:r w:rsidRPr="00881D4D">
        <w:rPr>
          <w:rFonts w:ascii="Times New Roman" w:hAnsi="Times New Roman" w:cs="Times New Roman"/>
          <w:sz w:val="24"/>
          <w:szCs w:val="24"/>
        </w:rPr>
        <w:lastRenderedPageBreak/>
        <w:t>reinforcing my initial finding of low overall error. The narrow spread of the errors, as shown by the compact bars in the plots, indicates a high degree of consistency and low variance in the predictions. This tells me that the models can reliably estimate the different concrete strengths. The fact that the models maintain consistently low error values across all three strength types (compressive, tensile, and flexural) highlights their versatility and robustness. Overall, the analysis confirms that all four models are viable for this prediction task, with the Random Forest and SVR models standing out as the most effective choices due to their consistently lower error metrics.</w:t>
      </w:r>
    </w:p>
    <w:p w14:paraId="08D9DA9A" w14:textId="77777777" w:rsidR="00045225" w:rsidRPr="00881D4D"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noProof/>
          <w:sz w:val="24"/>
          <w:szCs w:val="24"/>
        </w:rPr>
        <w:drawing>
          <wp:inline distT="0" distB="0" distL="0" distR="0" wp14:anchorId="67558825" wp14:editId="22EA3098">
            <wp:extent cx="5731510" cy="2547620"/>
            <wp:effectExtent l="0" t="0" r="2540" b="5080"/>
            <wp:docPr id="1954829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9952" name="Picture 19548299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28A3FA19" w14:textId="77777777" w:rsidR="00045225" w:rsidRPr="00881D4D"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6: Error Analysis for all the Models</w:t>
      </w:r>
    </w:p>
    <w:p w14:paraId="57198C89" w14:textId="18AD801B" w:rsidR="00045225" w:rsidRPr="007D791E" w:rsidRDefault="007D791E" w:rsidP="00045225">
      <w:pPr>
        <w:spacing w:line="276" w:lineRule="auto"/>
        <w:rPr>
          <w:rFonts w:ascii="Times New Roman" w:hAnsi="Times New Roman" w:cs="Times New Roman"/>
          <w:i/>
          <w:iCs/>
          <w:noProof/>
          <w:sz w:val="24"/>
          <w:szCs w:val="24"/>
        </w:rPr>
      </w:pPr>
      <w:r w:rsidRPr="007D791E">
        <w:rPr>
          <w:rFonts w:ascii="Times New Roman" w:hAnsi="Times New Roman" w:cs="Times New Roman"/>
          <w:i/>
          <w:iCs/>
          <w:noProof/>
          <w:sz w:val="24"/>
          <w:szCs w:val="24"/>
        </w:rPr>
        <w:t xml:space="preserve">3.8 </w:t>
      </w:r>
      <w:r w:rsidR="00045225" w:rsidRPr="007D791E">
        <w:rPr>
          <w:rFonts w:ascii="Times New Roman" w:hAnsi="Times New Roman" w:cs="Times New Roman"/>
          <w:i/>
          <w:iCs/>
          <w:noProof/>
          <w:sz w:val="24"/>
          <w:szCs w:val="24"/>
        </w:rPr>
        <w:t xml:space="preserve">Sensitivity analysis </w:t>
      </w:r>
    </w:p>
    <w:p w14:paraId="0A3144A8"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first plot shows the sensitivity of compressive strength (28 days) to standardized changes in cement and BMWA content. As cement increases (blue line), compressive strength gradually improves, indicating cement contributes positively to strength gain. In contrast, increasing BMWA (orange line) initially maintains higher compressive strength but then causes a sharp drop once the standardized value crosses zero. This suggests that while moderate BMWA replacement may be tolerable, higher replacement levels substantially reduce compressive strength due to dilution of cementitious material.</w:t>
      </w:r>
    </w:p>
    <w:p w14:paraId="1F238F30"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The second and third plots represent tensile strength (28 days) and flexural strength (28 days), respectively. In both cases, cement content shows a steady positive effect, gradually increasing predicted strengths. BMWA content again demonstrates a nonlinear influence—showing fluctuations and eventually declining performance at higher replacement ratios. The baseline prediction (red dashed line) serves as a reference, confirming that BMWA beyond a </w:t>
      </w:r>
      <w:r w:rsidRPr="00881D4D">
        <w:rPr>
          <w:rFonts w:ascii="Times New Roman" w:hAnsi="Times New Roman" w:cs="Times New Roman"/>
          <w:sz w:val="24"/>
          <w:szCs w:val="24"/>
        </w:rPr>
        <w:lastRenderedPageBreak/>
        <w:t>certain threshold lowers both tensile and flexural performance. Together, these sensitivity curves emphasize the dual role of BMWA: while it can contribute as a sustainable partial replacement, excessive amounts impair mechanical properties critical for structural applications.</w:t>
      </w:r>
    </w:p>
    <w:p w14:paraId="3238FA15"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52E073BE" wp14:editId="07C51FA3">
            <wp:extent cx="6093460" cy="2188307"/>
            <wp:effectExtent l="0" t="0" r="2540" b="0"/>
            <wp:docPr id="110779330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93306" name="Picture 1" descr="A graph with blue and orang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1644" cy="2202020"/>
                    </a:xfrm>
                    <a:prstGeom prst="rect">
                      <a:avLst/>
                    </a:prstGeom>
                  </pic:spPr>
                </pic:pic>
              </a:graphicData>
            </a:graphic>
          </wp:inline>
        </w:drawing>
      </w:r>
    </w:p>
    <w:p w14:paraId="2D0DCE56" w14:textId="305B5B00" w:rsidR="00045225" w:rsidRPr="00881D4D" w:rsidRDefault="00045225" w:rsidP="00045225">
      <w:pPr>
        <w:spacing w:line="276" w:lineRule="auto"/>
        <w:jc w:val="center"/>
        <w:rPr>
          <w:rFonts w:ascii="Times New Roman" w:hAnsi="Times New Roman" w:cs="Times New Roman"/>
          <w:sz w:val="24"/>
          <w:szCs w:val="24"/>
        </w:rPr>
      </w:pPr>
      <w:bookmarkStart w:id="0" w:name="_Hlk207880090"/>
      <w:r w:rsidRPr="00881D4D">
        <w:rPr>
          <w:rFonts w:ascii="Times New Roman" w:hAnsi="Times New Roman" w:cs="Times New Roman"/>
          <w:sz w:val="24"/>
          <w:szCs w:val="24"/>
        </w:rPr>
        <w:t>Figure 1: Sensitivity curve for CS,TS and FS</w:t>
      </w:r>
      <w:bookmarkEnd w:id="0"/>
    </w:p>
    <w:p w14:paraId="26A8A231" w14:textId="36F97A35" w:rsidR="00CE6450" w:rsidRDefault="00CE6450" w:rsidP="00045225">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Lime Analysis</w:t>
      </w:r>
    </w:p>
    <w:p w14:paraId="67AFE802" w14:textId="77777777" w:rsidR="00CE6450" w:rsidRDefault="00CE6450" w:rsidP="00045225">
      <w:pPr>
        <w:spacing w:after="0" w:line="360" w:lineRule="auto"/>
        <w:jc w:val="both"/>
        <w:rPr>
          <w:rFonts w:ascii="Times New Roman" w:hAnsi="Times New Roman" w:cs="Times New Roman"/>
          <w:i/>
          <w:iCs/>
          <w:sz w:val="24"/>
          <w:szCs w:val="24"/>
        </w:rPr>
      </w:pPr>
    </w:p>
    <w:p w14:paraId="23A0B81F" w14:textId="3306CB0E" w:rsidR="00045225" w:rsidRPr="007D791E" w:rsidRDefault="007D791E" w:rsidP="00045225">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3.9 </w:t>
      </w:r>
      <w:r w:rsidR="00045225" w:rsidRPr="007D791E">
        <w:rPr>
          <w:rFonts w:ascii="Times New Roman" w:hAnsi="Times New Roman" w:cs="Times New Roman"/>
          <w:i/>
          <w:iCs/>
          <w:sz w:val="24"/>
          <w:szCs w:val="24"/>
        </w:rPr>
        <w:t>SHAP Analysis</w:t>
      </w:r>
    </w:p>
    <w:p w14:paraId="67C44A70"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SHAP bar plot illustrates the feature importance and contribution direction for the predictive model trained on the Biomedical Waste Ash (BMWA) concrete dataset. The x-axis represents SHAP values, which measure the magnitude and direction of each feature’s impact on the model’s predictions. Positive SHAP values (blue bars) indicate that the feature increases the prediction, while negative values (red bars) reduce it. From the chart, BMWA(%) is by far the most influential feature, contributing strongly and positively to the prediction (+2.02). This means that the proportion of BMWA plays a dominant role in shaping the model’s output compared to all other features.</w:t>
      </w:r>
    </w:p>
    <w:p w14:paraId="75353AC3" w14:textId="06475F56"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 xml:space="preserve">Other features, such as CS(14 days)(MPa) and BMWA(kg/m³), also show moderate positive contributions, suggesting that early-age compressive strength and BMWA dosage positively influence the model’s performance. On the other hand, features like FS(14 days)(MPa) and FS(28 days)(MPa) contribute negatively, implying that higher values of flexural strength at these stages slightly lower the model’s predictions. Interestingly, cement content shows only a negligible effect, emphasizing that the replacement ratio (BMWA%) rather than absolute cement quantity governs the model’s behaviour. Collectively, this SHAP analysis highlights that while BMWA drives the model’s predictions, strength properties at </w:t>
      </w:r>
      <w:r w:rsidRPr="00881D4D">
        <w:rPr>
          <w:rFonts w:ascii="Times New Roman" w:hAnsi="Times New Roman" w:cs="Times New Roman"/>
          <w:sz w:val="24"/>
          <w:szCs w:val="24"/>
        </w:rPr>
        <w:lastRenderedPageBreak/>
        <w:t>different curing ages modulate the outcome, reflecting the interplay between material composition and mechanical performance.</w:t>
      </w:r>
    </w:p>
    <w:p w14:paraId="161C4CD8"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drawing>
          <wp:inline distT="0" distB="0" distL="0" distR="0" wp14:anchorId="6D445A41" wp14:editId="72475A02">
            <wp:extent cx="5731510" cy="2068195"/>
            <wp:effectExtent l="0" t="0" r="2540" b="8255"/>
            <wp:docPr id="610089454" name="Picture 2" descr="A blue ba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9454" name="Picture 2" descr="A blue bar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204464C2" w14:textId="736F0CB5"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sz w:val="24"/>
          <w:szCs w:val="24"/>
        </w:rPr>
        <w:t>Figure 2: SHAP Analysis</w:t>
      </w:r>
    </w:p>
    <w:p w14:paraId="7ADA3992" w14:textId="5DCA3535" w:rsidR="00045225" w:rsidRPr="007D791E" w:rsidRDefault="007D791E" w:rsidP="00045225">
      <w:pPr>
        <w:spacing w:after="0" w:line="360" w:lineRule="auto"/>
        <w:jc w:val="both"/>
        <w:rPr>
          <w:rFonts w:ascii="Times New Roman" w:hAnsi="Times New Roman" w:cs="Times New Roman"/>
          <w:i/>
          <w:iCs/>
          <w:sz w:val="24"/>
          <w:szCs w:val="24"/>
        </w:rPr>
      </w:pPr>
      <w:r w:rsidRPr="007D791E">
        <w:rPr>
          <w:rFonts w:ascii="Times New Roman" w:hAnsi="Times New Roman" w:cs="Times New Roman"/>
          <w:i/>
          <w:iCs/>
          <w:sz w:val="24"/>
          <w:szCs w:val="24"/>
        </w:rPr>
        <w:t xml:space="preserve">3.9.1 </w:t>
      </w:r>
      <w:r w:rsidR="00045225" w:rsidRPr="007D791E">
        <w:rPr>
          <w:rFonts w:ascii="Times New Roman" w:hAnsi="Times New Roman" w:cs="Times New Roman"/>
          <w:i/>
          <w:iCs/>
          <w:sz w:val="24"/>
          <w:szCs w:val="24"/>
        </w:rPr>
        <w:t>SHAP Value Analysis</w:t>
      </w:r>
    </w:p>
    <w:p w14:paraId="20DF80BD"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figure correlation matrix provides a comprehensive view of the inter-feature relationships within the dataset. A very strong positive correlation (0.96) is observed between Biomedical Waste Ash (%) and Biomedical Waste Ash (kg/m3), which is expected as both represent related measures of the same material. In contrast, a strong negative correlation (-0.93) is seen between Biomedical Waste Ash (%) and Cement content, indicating that as the replacement level of BMWA is increased, the cement content is decreased. Furthermore, a high degree of correlation (0.78–0.85) is also noted among the various compressive strength measures across different curing ages, which demonstrates the consistency of the strength development in the concrete mixes.</w:t>
      </w:r>
    </w:p>
    <w:p w14:paraId="395A9F50"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interdependence of the mechanical properties is also revealed, as tensile and flexural strengths are shown to have moderate positive correlations (0.57–0.73) with compressive strength. It is also observed that early-age tensile strength (7 days) has a weaker correlation with other strength measures, which suggests greater variability and sensitivity during the initial curing period. A significant finding is the consistent negative correlation between BMWA (%) and all of the strength parameters, which confirms that an increase in BMWA content leads to a reduction in concrete strength. Overall, this matrix effectively illustrates the trade-off that is made between cement replacement and mechanical performance.</w:t>
      </w:r>
    </w:p>
    <w:p w14:paraId="649E92EE" w14:textId="77777777" w:rsidR="00045225" w:rsidRPr="00881D4D" w:rsidRDefault="00045225" w:rsidP="00045225">
      <w:pPr>
        <w:spacing w:line="360" w:lineRule="auto"/>
        <w:jc w:val="both"/>
        <w:rPr>
          <w:rFonts w:ascii="Times New Roman" w:hAnsi="Times New Roman" w:cs="Times New Roman"/>
          <w:sz w:val="24"/>
          <w:szCs w:val="24"/>
        </w:rPr>
      </w:pPr>
    </w:p>
    <w:p w14:paraId="3277B09E"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lastRenderedPageBreak/>
        <w:drawing>
          <wp:inline distT="0" distB="0" distL="0" distR="0" wp14:anchorId="3654FC3B" wp14:editId="2155444F">
            <wp:extent cx="5613253" cy="3375377"/>
            <wp:effectExtent l="0" t="0" r="6985" b="0"/>
            <wp:docPr id="1794246953" name="Picture 3" descr="A graph with a line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46953" name="Picture 3" descr="A graph with a line of dots&#10;&#10;AI-generated content may be incorrect."/>
                    <pic:cNvPicPr/>
                  </pic:nvPicPr>
                  <pic:blipFill rotWithShape="1">
                    <a:blip r:embed="rId24" cstate="print">
                      <a:extLst>
                        <a:ext uri="{28A0092B-C50C-407E-A947-70E740481C1C}">
                          <a14:useLocalDpi xmlns:a14="http://schemas.microsoft.com/office/drawing/2010/main" val="0"/>
                        </a:ext>
                      </a:extLst>
                    </a:blip>
                    <a:srcRect l="10969" r="5273"/>
                    <a:stretch>
                      <a:fillRect/>
                    </a:stretch>
                  </pic:blipFill>
                  <pic:spPr bwMode="auto">
                    <a:xfrm>
                      <a:off x="0" y="0"/>
                      <a:ext cx="5627648" cy="3384033"/>
                    </a:xfrm>
                    <a:prstGeom prst="rect">
                      <a:avLst/>
                    </a:prstGeom>
                    <a:ln>
                      <a:noFill/>
                    </a:ln>
                    <a:extLst>
                      <a:ext uri="{53640926-AAD7-44D8-BBD7-CCE9431645EC}">
                        <a14:shadowObscured xmlns:a14="http://schemas.microsoft.com/office/drawing/2010/main"/>
                      </a:ext>
                    </a:extLst>
                  </pic:spPr>
                </pic:pic>
              </a:graphicData>
            </a:graphic>
          </wp:inline>
        </w:drawing>
      </w:r>
    </w:p>
    <w:p w14:paraId="34BF766A" w14:textId="77777777" w:rsidR="00045225" w:rsidRPr="00881D4D"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9: SHAP value plot</w:t>
      </w:r>
    </w:p>
    <w:p w14:paraId="302E9242" w14:textId="7FD13FCC" w:rsidR="00045225" w:rsidRPr="007D791E" w:rsidRDefault="007D791E" w:rsidP="00045225">
      <w:pPr>
        <w:spacing w:line="276" w:lineRule="auto"/>
        <w:rPr>
          <w:rFonts w:ascii="Times New Roman" w:hAnsi="Times New Roman" w:cs="Times New Roman"/>
          <w:bCs/>
          <w:i/>
          <w:iCs/>
          <w:sz w:val="24"/>
          <w:szCs w:val="24"/>
        </w:rPr>
      </w:pPr>
      <w:r w:rsidRPr="007D791E">
        <w:rPr>
          <w:rFonts w:ascii="Times New Roman" w:hAnsi="Times New Roman" w:cs="Times New Roman"/>
          <w:bCs/>
          <w:i/>
          <w:iCs/>
          <w:sz w:val="24"/>
          <w:szCs w:val="24"/>
        </w:rPr>
        <w:t xml:space="preserve">3.10 </w:t>
      </w:r>
      <w:r w:rsidR="00045225" w:rsidRPr="007D791E">
        <w:rPr>
          <w:rFonts w:ascii="Times New Roman" w:hAnsi="Times New Roman" w:cs="Times New Roman"/>
          <w:bCs/>
          <w:i/>
          <w:iCs/>
          <w:sz w:val="24"/>
          <w:szCs w:val="24"/>
        </w:rPr>
        <w:t>Taylor Analysis</w:t>
      </w:r>
    </w:p>
    <w:p w14:paraId="05ADA7FA"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plot illustrates the results of a Rapid Chloride Permeability Test (RCPT) on concrete containing varying percentages of Biomedical Waste Ash (BMWA). It is shown that as the amount of BMWA in the mix increases, the concrete's permeability to chloride ions significantly decreases. The highest permeability is exhibited by the control mix (0% BMWA), while a marked improvement in durability is shown by the mixes with BMWA.</w:t>
      </w:r>
    </w:p>
    <w:p w14:paraId="7211C58F" w14:textId="77777777" w:rsidR="00045225" w:rsidRPr="00881D4D" w:rsidRDefault="00045225" w:rsidP="00045225">
      <w:pPr>
        <w:spacing w:line="360" w:lineRule="auto"/>
        <w:ind w:firstLine="720"/>
        <w:jc w:val="both"/>
        <w:rPr>
          <w:rFonts w:ascii="Times New Roman" w:hAnsi="Times New Roman" w:cs="Times New Roman"/>
          <w:sz w:val="24"/>
          <w:szCs w:val="24"/>
        </w:rPr>
      </w:pPr>
      <w:r w:rsidRPr="00881D4D">
        <w:rPr>
          <w:rFonts w:ascii="Times New Roman" w:hAnsi="Times New Roman" w:cs="Times New Roman"/>
          <w:sz w:val="24"/>
          <w:szCs w:val="24"/>
        </w:rPr>
        <w:t>The optimal result, which signifies the greatest resistance to chloride ingress, is observed at a 15% BMWA content, where the permeability is classified as "Very Low." Beyond this point, a slight increase in permeability is seen, but the values remain significantly lower than the control sample. This confirms that incorporating BMWA into the mix generally enhances the concrete's resistance to chloride attack, a critical finding for potential applications.</w:t>
      </w:r>
    </w:p>
    <w:p w14:paraId="2ED4F171" w14:textId="77777777" w:rsidR="00045225" w:rsidRPr="00881D4D" w:rsidRDefault="00045225" w:rsidP="00045225">
      <w:pPr>
        <w:spacing w:line="276" w:lineRule="auto"/>
        <w:rPr>
          <w:rFonts w:ascii="Times New Roman" w:hAnsi="Times New Roman" w:cs="Times New Roman"/>
          <w:bCs/>
          <w:sz w:val="24"/>
          <w:szCs w:val="24"/>
        </w:rPr>
      </w:pPr>
    </w:p>
    <w:p w14:paraId="3A3F4482" w14:textId="77777777" w:rsidR="00045225" w:rsidRPr="00881D4D" w:rsidRDefault="00045225" w:rsidP="00045225">
      <w:pPr>
        <w:spacing w:line="276" w:lineRule="auto"/>
        <w:jc w:val="center"/>
        <w:rPr>
          <w:rFonts w:ascii="Times New Roman" w:hAnsi="Times New Roman" w:cs="Times New Roman"/>
          <w:sz w:val="24"/>
          <w:szCs w:val="24"/>
        </w:rPr>
      </w:pPr>
      <w:r w:rsidRPr="00881D4D">
        <w:rPr>
          <w:rFonts w:ascii="Times New Roman" w:hAnsi="Times New Roman" w:cs="Times New Roman"/>
          <w:noProof/>
          <w:sz w:val="24"/>
          <w:szCs w:val="24"/>
        </w:rPr>
        <w:lastRenderedPageBreak/>
        <w:drawing>
          <wp:inline distT="0" distB="0" distL="0" distR="0" wp14:anchorId="1674678D" wp14:editId="5F2A4391">
            <wp:extent cx="5731510" cy="2129155"/>
            <wp:effectExtent l="0" t="0" r="2540" b="4445"/>
            <wp:docPr id="843883812" name="Picture 4" descr="A diagram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3812" name="Picture 4" descr="A diagram with different colored dot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a:graphicData>
            </a:graphic>
          </wp:inline>
        </w:drawing>
      </w:r>
    </w:p>
    <w:p w14:paraId="2833FB81" w14:textId="77777777" w:rsidR="00045225" w:rsidRDefault="00045225" w:rsidP="00045225">
      <w:pPr>
        <w:spacing w:line="276" w:lineRule="auto"/>
        <w:jc w:val="center"/>
        <w:rPr>
          <w:rFonts w:ascii="Times New Roman" w:hAnsi="Times New Roman" w:cs="Times New Roman"/>
          <w:bCs/>
          <w:sz w:val="24"/>
          <w:szCs w:val="24"/>
        </w:rPr>
      </w:pPr>
      <w:r w:rsidRPr="00881D4D">
        <w:rPr>
          <w:rFonts w:ascii="Times New Roman" w:hAnsi="Times New Roman" w:cs="Times New Roman"/>
          <w:bCs/>
          <w:sz w:val="24"/>
          <w:szCs w:val="24"/>
        </w:rPr>
        <w:t>Figure 10: Taylor Plot for Train and Test values for all algorithms</w:t>
      </w:r>
    </w:p>
    <w:p w14:paraId="55D539A9" w14:textId="55E8A0EB" w:rsidR="007D791E" w:rsidRDefault="00CE6450" w:rsidP="00CE6450">
      <w:pPr>
        <w:spacing w:line="276" w:lineRule="auto"/>
        <w:rPr>
          <w:rFonts w:ascii="Times New Roman" w:hAnsi="Times New Roman" w:cs="Times New Roman"/>
          <w:bCs/>
          <w:i/>
          <w:iCs/>
          <w:sz w:val="24"/>
          <w:szCs w:val="24"/>
        </w:rPr>
      </w:pPr>
      <w:r w:rsidRPr="00CE6450">
        <w:rPr>
          <w:rFonts w:ascii="Times New Roman" w:hAnsi="Times New Roman" w:cs="Times New Roman"/>
          <w:bCs/>
          <w:i/>
          <w:iCs/>
          <w:sz w:val="24"/>
          <w:szCs w:val="24"/>
        </w:rPr>
        <w:t xml:space="preserve">3.11 External Validation </w:t>
      </w:r>
    </w:p>
    <w:tbl>
      <w:tblPr>
        <w:tblStyle w:val="TableGrid"/>
        <w:tblW w:w="10229" w:type="dxa"/>
        <w:tblInd w:w="-607" w:type="dxa"/>
        <w:tblLook w:val="04A0" w:firstRow="1" w:lastRow="0" w:firstColumn="1" w:lastColumn="0" w:noHBand="0" w:noVBand="1"/>
      </w:tblPr>
      <w:tblGrid>
        <w:gridCol w:w="1476"/>
        <w:gridCol w:w="1521"/>
        <w:gridCol w:w="1212"/>
        <w:gridCol w:w="1212"/>
        <w:gridCol w:w="1689"/>
        <w:gridCol w:w="1560"/>
        <w:gridCol w:w="1559"/>
      </w:tblGrid>
      <w:tr w:rsidR="00FC705A" w14:paraId="63337AC6" w14:textId="62F7B730" w:rsidTr="00FC705A">
        <w:tc>
          <w:tcPr>
            <w:tcW w:w="1476" w:type="dxa"/>
          </w:tcPr>
          <w:p w14:paraId="65C69495" w14:textId="77777777" w:rsidR="00FC705A" w:rsidRDefault="00FC705A" w:rsidP="00BE199B">
            <w:pPr>
              <w:spacing w:line="276" w:lineRule="auto"/>
              <w:rPr>
                <w:rFonts w:ascii="Times New Roman" w:hAnsi="Times New Roman" w:cs="Times New Roman"/>
                <w:b/>
                <w:bCs/>
                <w:sz w:val="24"/>
                <w:szCs w:val="24"/>
              </w:rPr>
            </w:pPr>
            <w:r w:rsidRPr="00BE199B">
              <w:rPr>
                <w:rFonts w:ascii="Times New Roman" w:hAnsi="Times New Roman" w:cs="Times New Roman"/>
                <w:b/>
                <w:bCs/>
                <w:sz w:val="24"/>
                <w:szCs w:val="24"/>
              </w:rPr>
              <w:t>Cement</w:t>
            </w:r>
          </w:p>
          <w:p w14:paraId="62B22BD1" w14:textId="7B46CA2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(kg/m3)</w:t>
            </w:r>
          </w:p>
        </w:tc>
        <w:tc>
          <w:tcPr>
            <w:tcW w:w="1521" w:type="dxa"/>
          </w:tcPr>
          <w:p w14:paraId="6847D34E" w14:textId="23624603"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Biomedical waste ash(kg/m3)</w:t>
            </w:r>
          </w:p>
        </w:tc>
        <w:tc>
          <w:tcPr>
            <w:tcW w:w="1212" w:type="dxa"/>
          </w:tcPr>
          <w:p w14:paraId="6024D55C" w14:textId="77777777" w:rsidR="00FC705A" w:rsidRDefault="00FC705A" w:rsidP="00BE199B">
            <w:pPr>
              <w:spacing w:line="276" w:lineRule="auto"/>
              <w:rPr>
                <w:rFonts w:ascii="Times New Roman" w:hAnsi="Times New Roman" w:cs="Times New Roman"/>
                <w:b/>
                <w:bCs/>
                <w:sz w:val="24"/>
                <w:szCs w:val="24"/>
              </w:rPr>
            </w:pPr>
            <w:r w:rsidRPr="00BE199B">
              <w:rPr>
                <w:rFonts w:ascii="Times New Roman" w:hAnsi="Times New Roman" w:cs="Times New Roman"/>
                <w:b/>
                <w:bCs/>
                <w:sz w:val="24"/>
                <w:szCs w:val="24"/>
              </w:rPr>
              <w:t xml:space="preserve">Fine </w:t>
            </w:r>
          </w:p>
          <w:p w14:paraId="5E05D04D" w14:textId="2014FC6E" w:rsidR="00FC705A" w:rsidRDefault="00FC705A" w:rsidP="00BE199B">
            <w:pPr>
              <w:spacing w:line="276" w:lineRule="auto"/>
              <w:rPr>
                <w:rFonts w:ascii="Times New Roman" w:hAnsi="Times New Roman" w:cs="Times New Roman"/>
                <w:b/>
                <w:bCs/>
                <w:sz w:val="24"/>
                <w:szCs w:val="24"/>
              </w:rPr>
            </w:pPr>
            <w:r w:rsidRPr="00BE199B">
              <w:rPr>
                <w:rFonts w:ascii="Times New Roman" w:hAnsi="Times New Roman" w:cs="Times New Roman"/>
                <w:b/>
                <w:bCs/>
                <w:sz w:val="24"/>
                <w:szCs w:val="24"/>
              </w:rPr>
              <w:t>aggregate</w:t>
            </w:r>
          </w:p>
          <w:p w14:paraId="26824422" w14:textId="29708E0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(kg/m3)</w:t>
            </w:r>
          </w:p>
        </w:tc>
        <w:tc>
          <w:tcPr>
            <w:tcW w:w="1212" w:type="dxa"/>
          </w:tcPr>
          <w:p w14:paraId="16828D39" w14:textId="77777777" w:rsidR="00FC705A" w:rsidRDefault="00FC705A" w:rsidP="00BE199B">
            <w:pPr>
              <w:spacing w:line="276" w:lineRule="auto"/>
              <w:rPr>
                <w:rFonts w:ascii="Times New Roman" w:hAnsi="Times New Roman" w:cs="Times New Roman"/>
                <w:b/>
                <w:bCs/>
                <w:sz w:val="24"/>
                <w:szCs w:val="24"/>
              </w:rPr>
            </w:pPr>
            <w:r w:rsidRPr="00BE199B">
              <w:rPr>
                <w:rFonts w:ascii="Times New Roman" w:hAnsi="Times New Roman" w:cs="Times New Roman"/>
                <w:b/>
                <w:bCs/>
                <w:sz w:val="24"/>
                <w:szCs w:val="24"/>
              </w:rPr>
              <w:t>Coarse aggregate</w:t>
            </w:r>
          </w:p>
          <w:p w14:paraId="6E7C9C4C" w14:textId="3C940B4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(kg/m3)</w:t>
            </w:r>
          </w:p>
        </w:tc>
        <w:tc>
          <w:tcPr>
            <w:tcW w:w="1689" w:type="dxa"/>
          </w:tcPr>
          <w:p w14:paraId="3D85088B" w14:textId="2B25658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Predicted C</w:t>
            </w:r>
            <w:r>
              <w:rPr>
                <w:rFonts w:ascii="Times New Roman" w:hAnsi="Times New Roman" w:cs="Times New Roman"/>
                <w:b/>
                <w:bCs/>
                <w:sz w:val="24"/>
                <w:szCs w:val="24"/>
              </w:rPr>
              <w:t>S</w:t>
            </w:r>
            <w:r w:rsidRPr="00BE199B">
              <w:rPr>
                <w:rFonts w:ascii="Times New Roman" w:hAnsi="Times New Roman" w:cs="Times New Roman"/>
                <w:b/>
                <w:bCs/>
                <w:sz w:val="24"/>
                <w:szCs w:val="24"/>
              </w:rPr>
              <w:t xml:space="preserve"> (28 days)(MPa)</w:t>
            </w:r>
          </w:p>
        </w:tc>
        <w:tc>
          <w:tcPr>
            <w:tcW w:w="1560" w:type="dxa"/>
          </w:tcPr>
          <w:p w14:paraId="33A59CEE" w14:textId="7584C5F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Predicted T</w:t>
            </w:r>
            <w:r>
              <w:rPr>
                <w:rFonts w:ascii="Times New Roman" w:hAnsi="Times New Roman" w:cs="Times New Roman"/>
                <w:b/>
                <w:bCs/>
                <w:sz w:val="24"/>
                <w:szCs w:val="24"/>
              </w:rPr>
              <w:t>S</w:t>
            </w:r>
            <w:r w:rsidRPr="00BE199B">
              <w:rPr>
                <w:rFonts w:ascii="Times New Roman" w:hAnsi="Times New Roman" w:cs="Times New Roman"/>
                <w:b/>
                <w:bCs/>
                <w:sz w:val="24"/>
                <w:szCs w:val="24"/>
              </w:rPr>
              <w:t xml:space="preserve"> (28 days)(MPa)</w:t>
            </w:r>
          </w:p>
        </w:tc>
        <w:tc>
          <w:tcPr>
            <w:tcW w:w="1559" w:type="dxa"/>
          </w:tcPr>
          <w:p w14:paraId="73822788" w14:textId="2684E562"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b/>
                <w:bCs/>
                <w:sz w:val="24"/>
                <w:szCs w:val="24"/>
              </w:rPr>
              <w:t>Predicted F</w:t>
            </w:r>
            <w:r>
              <w:rPr>
                <w:rFonts w:ascii="Times New Roman" w:hAnsi="Times New Roman" w:cs="Times New Roman"/>
                <w:b/>
                <w:bCs/>
                <w:sz w:val="24"/>
                <w:szCs w:val="24"/>
              </w:rPr>
              <w:t>S</w:t>
            </w:r>
            <w:r w:rsidRPr="00BE199B">
              <w:rPr>
                <w:rFonts w:ascii="Times New Roman" w:hAnsi="Times New Roman" w:cs="Times New Roman"/>
                <w:b/>
                <w:bCs/>
                <w:sz w:val="24"/>
                <w:szCs w:val="24"/>
              </w:rPr>
              <w:t xml:space="preserve"> (28 days)(MPa)</w:t>
            </w:r>
          </w:p>
        </w:tc>
      </w:tr>
      <w:tr w:rsidR="00FC705A" w14:paraId="3B07DBA6" w14:textId="0A842481" w:rsidTr="00FC705A">
        <w:tc>
          <w:tcPr>
            <w:tcW w:w="1476" w:type="dxa"/>
            <w:vAlign w:val="bottom"/>
          </w:tcPr>
          <w:p w14:paraId="48F9ED33" w14:textId="6AC5C722"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312.3620357</w:t>
            </w:r>
          </w:p>
        </w:tc>
        <w:tc>
          <w:tcPr>
            <w:tcW w:w="1521" w:type="dxa"/>
            <w:vAlign w:val="bottom"/>
          </w:tcPr>
          <w:p w14:paraId="370D8D40" w14:textId="40755F6F"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2.05844943</w:t>
            </w:r>
          </w:p>
        </w:tc>
        <w:tc>
          <w:tcPr>
            <w:tcW w:w="1212" w:type="dxa"/>
            <w:vAlign w:val="bottom"/>
          </w:tcPr>
          <w:p w14:paraId="1DF0B448" w14:textId="71DAF75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3640F471" w14:textId="7850CD60"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74EE550F" w14:textId="4EE3E25F"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31.84099007</w:t>
            </w:r>
          </w:p>
        </w:tc>
        <w:tc>
          <w:tcPr>
            <w:tcW w:w="1560" w:type="dxa"/>
            <w:vAlign w:val="bottom"/>
          </w:tcPr>
          <w:p w14:paraId="7642219F" w14:textId="17703227"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3.12769556</w:t>
            </w:r>
          </w:p>
        </w:tc>
        <w:tc>
          <w:tcPr>
            <w:tcW w:w="1559" w:type="dxa"/>
            <w:vAlign w:val="bottom"/>
          </w:tcPr>
          <w:p w14:paraId="6210D6A8" w14:textId="4640BB43"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3.769400597</w:t>
            </w:r>
          </w:p>
        </w:tc>
      </w:tr>
      <w:tr w:rsidR="00FC705A" w14:paraId="7CE19F35" w14:textId="6260D15D" w:rsidTr="00FC705A">
        <w:tc>
          <w:tcPr>
            <w:tcW w:w="1476" w:type="dxa"/>
            <w:vAlign w:val="bottom"/>
          </w:tcPr>
          <w:p w14:paraId="3782495F" w14:textId="3C5CE2E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485.2142919</w:t>
            </w:r>
          </w:p>
        </w:tc>
        <w:tc>
          <w:tcPr>
            <w:tcW w:w="1521" w:type="dxa"/>
            <w:vAlign w:val="bottom"/>
          </w:tcPr>
          <w:p w14:paraId="1C4581BA" w14:textId="527A0239"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96.99098522</w:t>
            </w:r>
          </w:p>
        </w:tc>
        <w:tc>
          <w:tcPr>
            <w:tcW w:w="1212" w:type="dxa"/>
            <w:vAlign w:val="bottom"/>
          </w:tcPr>
          <w:p w14:paraId="318E8999" w14:textId="2DB42F08"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444181EE" w14:textId="747D161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20226F04" w14:textId="7DC4E4B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31.80321503</w:t>
            </w:r>
          </w:p>
        </w:tc>
        <w:tc>
          <w:tcPr>
            <w:tcW w:w="1560" w:type="dxa"/>
            <w:vAlign w:val="bottom"/>
          </w:tcPr>
          <w:p w14:paraId="6409A0FA" w14:textId="05882106"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3.130996704</w:t>
            </w:r>
          </w:p>
        </w:tc>
        <w:tc>
          <w:tcPr>
            <w:tcW w:w="1559" w:type="dxa"/>
            <w:vAlign w:val="bottom"/>
          </w:tcPr>
          <w:p w14:paraId="60717D52" w14:textId="5267881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3.766886473</w:t>
            </w:r>
          </w:p>
        </w:tc>
      </w:tr>
      <w:tr w:rsidR="00FC705A" w14:paraId="02136EC2" w14:textId="1723517D" w:rsidTr="00FC705A">
        <w:tc>
          <w:tcPr>
            <w:tcW w:w="1476" w:type="dxa"/>
            <w:vAlign w:val="bottom"/>
          </w:tcPr>
          <w:p w14:paraId="76A5AE16" w14:textId="68DDD5C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419.5981825</w:t>
            </w:r>
          </w:p>
        </w:tc>
        <w:tc>
          <w:tcPr>
            <w:tcW w:w="1521" w:type="dxa"/>
            <w:vAlign w:val="bottom"/>
          </w:tcPr>
          <w:p w14:paraId="4D146951" w14:textId="215F9FF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83.24426408</w:t>
            </w:r>
          </w:p>
        </w:tc>
        <w:tc>
          <w:tcPr>
            <w:tcW w:w="1212" w:type="dxa"/>
            <w:vAlign w:val="bottom"/>
          </w:tcPr>
          <w:p w14:paraId="231934D9" w14:textId="6C89A58B"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190D3C4E" w14:textId="77A0B04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2BCF3D27" w14:textId="6A971AC2"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31.80994225</w:t>
            </w:r>
          </w:p>
        </w:tc>
        <w:tc>
          <w:tcPr>
            <w:tcW w:w="1560" w:type="dxa"/>
            <w:vAlign w:val="bottom"/>
          </w:tcPr>
          <w:p w14:paraId="4869B937" w14:textId="41EA80A2"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3.130326986</w:t>
            </w:r>
          </w:p>
        </w:tc>
        <w:tc>
          <w:tcPr>
            <w:tcW w:w="1559" w:type="dxa"/>
            <w:vAlign w:val="bottom"/>
          </w:tcPr>
          <w:p w14:paraId="1AF347BA" w14:textId="5C559FD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3.767484188</w:t>
            </w:r>
          </w:p>
        </w:tc>
      </w:tr>
      <w:tr w:rsidR="00FC705A" w14:paraId="4899C35E" w14:textId="4B44B2D8" w:rsidTr="00FC705A">
        <w:tc>
          <w:tcPr>
            <w:tcW w:w="1476" w:type="dxa"/>
            <w:vAlign w:val="bottom"/>
          </w:tcPr>
          <w:p w14:paraId="3E8CC731" w14:textId="5BE2D96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379.5975453</w:t>
            </w:r>
          </w:p>
        </w:tc>
        <w:tc>
          <w:tcPr>
            <w:tcW w:w="1521" w:type="dxa"/>
            <w:vAlign w:val="bottom"/>
          </w:tcPr>
          <w:p w14:paraId="39C27DEB" w14:textId="28BAD80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21.23391107</w:t>
            </w:r>
          </w:p>
        </w:tc>
        <w:tc>
          <w:tcPr>
            <w:tcW w:w="1212" w:type="dxa"/>
            <w:vAlign w:val="bottom"/>
          </w:tcPr>
          <w:p w14:paraId="7565660D" w14:textId="22FF34D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4E08FE14" w14:textId="339A752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4A081AC2" w14:textId="478CD4E6"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31.82564354</w:t>
            </w:r>
          </w:p>
        </w:tc>
        <w:tc>
          <w:tcPr>
            <w:tcW w:w="1560" w:type="dxa"/>
            <w:vAlign w:val="bottom"/>
          </w:tcPr>
          <w:p w14:paraId="33F767FB" w14:textId="00D047D6"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3.12896657</w:t>
            </w:r>
          </w:p>
        </w:tc>
        <w:tc>
          <w:tcPr>
            <w:tcW w:w="1559" w:type="dxa"/>
            <w:vAlign w:val="bottom"/>
          </w:tcPr>
          <w:p w14:paraId="355CEA6A" w14:textId="51608CC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3.768536329</w:t>
            </w:r>
          </w:p>
        </w:tc>
      </w:tr>
      <w:tr w:rsidR="00FC705A" w14:paraId="2A388E39" w14:textId="5157A98A" w:rsidTr="00FC705A">
        <w:tc>
          <w:tcPr>
            <w:tcW w:w="1476" w:type="dxa"/>
            <w:vAlign w:val="bottom"/>
          </w:tcPr>
          <w:p w14:paraId="4DE8C557" w14:textId="00054BF8"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246.8055921</w:t>
            </w:r>
          </w:p>
        </w:tc>
        <w:tc>
          <w:tcPr>
            <w:tcW w:w="1521" w:type="dxa"/>
            <w:vAlign w:val="bottom"/>
          </w:tcPr>
          <w:p w14:paraId="75E76C6D" w14:textId="66402556"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18.18249672</w:t>
            </w:r>
          </w:p>
        </w:tc>
        <w:tc>
          <w:tcPr>
            <w:tcW w:w="1212" w:type="dxa"/>
            <w:vAlign w:val="bottom"/>
          </w:tcPr>
          <w:p w14:paraId="4A3778EC" w14:textId="45E52F9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4D26E228" w14:textId="045F389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67BEEC00" w14:textId="540A4A40"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31.85747147</w:t>
            </w:r>
          </w:p>
        </w:tc>
        <w:tc>
          <w:tcPr>
            <w:tcW w:w="1560" w:type="dxa"/>
            <w:vAlign w:val="bottom"/>
          </w:tcPr>
          <w:p w14:paraId="2270A32E" w14:textId="29CF53D7"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3.126358032</w:t>
            </w:r>
          </w:p>
        </w:tc>
        <w:tc>
          <w:tcPr>
            <w:tcW w:w="1559" w:type="dxa"/>
            <w:vAlign w:val="bottom"/>
          </w:tcPr>
          <w:p w14:paraId="5630D3C2" w14:textId="11D029B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3.77013731</w:t>
            </w:r>
          </w:p>
        </w:tc>
      </w:tr>
      <w:tr w:rsidR="00FC705A" w14:paraId="771735EF" w14:textId="1F198614" w:rsidTr="00FC705A">
        <w:tc>
          <w:tcPr>
            <w:tcW w:w="1476" w:type="dxa"/>
            <w:vAlign w:val="bottom"/>
          </w:tcPr>
          <w:p w14:paraId="6B0CD4D5" w14:textId="79DDE7D6"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246.7983561</w:t>
            </w:r>
          </w:p>
        </w:tc>
        <w:tc>
          <w:tcPr>
            <w:tcW w:w="1521" w:type="dxa"/>
            <w:vAlign w:val="bottom"/>
          </w:tcPr>
          <w:p w14:paraId="664DE8E9" w14:textId="5113F51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18.34045099</w:t>
            </w:r>
          </w:p>
        </w:tc>
        <w:tc>
          <w:tcPr>
            <w:tcW w:w="1212" w:type="dxa"/>
            <w:vAlign w:val="bottom"/>
          </w:tcPr>
          <w:p w14:paraId="55ED2476" w14:textId="05ADCF52"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059C9957" w14:textId="77F7221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63B3433E" w14:textId="5EE42AD1"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31.8574276</w:t>
            </w:r>
          </w:p>
        </w:tc>
        <w:tc>
          <w:tcPr>
            <w:tcW w:w="1560" w:type="dxa"/>
            <w:vAlign w:val="bottom"/>
          </w:tcPr>
          <w:p w14:paraId="6F279AE8" w14:textId="724B7900"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3.126361609</w:t>
            </w:r>
          </w:p>
        </w:tc>
        <w:tc>
          <w:tcPr>
            <w:tcW w:w="1559" w:type="dxa"/>
            <w:vAlign w:val="bottom"/>
          </w:tcPr>
          <w:p w14:paraId="5D6E9A02" w14:textId="546DF67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3.770135403</w:t>
            </w:r>
          </w:p>
        </w:tc>
      </w:tr>
      <w:tr w:rsidR="00FC705A" w14:paraId="0E9BFEA8" w14:textId="014CAA2F" w:rsidTr="00FC705A">
        <w:tc>
          <w:tcPr>
            <w:tcW w:w="1476" w:type="dxa"/>
            <w:vAlign w:val="bottom"/>
          </w:tcPr>
          <w:p w14:paraId="4623C13E" w14:textId="19957B5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217.4250837</w:t>
            </w:r>
          </w:p>
        </w:tc>
        <w:tc>
          <w:tcPr>
            <w:tcW w:w="1521" w:type="dxa"/>
            <w:vAlign w:val="bottom"/>
          </w:tcPr>
          <w:p w14:paraId="64B94375" w14:textId="16AA7ED9"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30.4242243</w:t>
            </w:r>
          </w:p>
        </w:tc>
        <w:tc>
          <w:tcPr>
            <w:tcW w:w="1212" w:type="dxa"/>
            <w:vAlign w:val="bottom"/>
          </w:tcPr>
          <w:p w14:paraId="325DDAD6" w14:textId="25D0F911"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55A11CD5" w14:textId="5CEFB76C"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20DBF019" w14:textId="735C978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31.86605263</w:t>
            </w:r>
          </w:p>
        </w:tc>
        <w:tc>
          <w:tcPr>
            <w:tcW w:w="1560" w:type="dxa"/>
            <w:vAlign w:val="bottom"/>
          </w:tcPr>
          <w:p w14:paraId="3096A4F5" w14:textId="422EFCF3"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3.125659227</w:t>
            </w:r>
          </w:p>
        </w:tc>
        <w:tc>
          <w:tcPr>
            <w:tcW w:w="1559" w:type="dxa"/>
            <w:vAlign w:val="bottom"/>
          </w:tcPr>
          <w:p w14:paraId="1E43157C" w14:textId="1FAAD28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3.770483494</w:t>
            </w:r>
          </w:p>
        </w:tc>
      </w:tr>
      <w:tr w:rsidR="00FC705A" w14:paraId="555F6B2B" w14:textId="51ABD01F" w:rsidTr="00FC705A">
        <w:tc>
          <w:tcPr>
            <w:tcW w:w="1476" w:type="dxa"/>
            <w:vAlign w:val="bottom"/>
          </w:tcPr>
          <w:p w14:paraId="3505864F" w14:textId="775ADC6E"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459.8528437</w:t>
            </w:r>
          </w:p>
        </w:tc>
        <w:tc>
          <w:tcPr>
            <w:tcW w:w="1521" w:type="dxa"/>
            <w:vAlign w:val="bottom"/>
          </w:tcPr>
          <w:p w14:paraId="2FFE4DD5" w14:textId="73C756E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52.47564316</w:t>
            </w:r>
          </w:p>
        </w:tc>
        <w:tc>
          <w:tcPr>
            <w:tcW w:w="1212" w:type="dxa"/>
            <w:vAlign w:val="bottom"/>
          </w:tcPr>
          <w:p w14:paraId="49FCA2A5" w14:textId="415EC2C0"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7BF86B9B" w14:textId="6B6214F1"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04450715" w14:textId="2CCA4F8C"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31.81093788</w:t>
            </w:r>
          </w:p>
        </w:tc>
        <w:tc>
          <w:tcPr>
            <w:tcW w:w="1560" w:type="dxa"/>
            <w:vAlign w:val="bottom"/>
          </w:tcPr>
          <w:p w14:paraId="672D6826" w14:textId="685A7A36"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3.13024497</w:t>
            </w:r>
          </w:p>
        </w:tc>
        <w:tc>
          <w:tcPr>
            <w:tcW w:w="1559" w:type="dxa"/>
            <w:vAlign w:val="bottom"/>
          </w:tcPr>
          <w:p w14:paraId="54016A7F" w14:textId="720F46F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3.767544746</w:t>
            </w:r>
          </w:p>
        </w:tc>
      </w:tr>
      <w:tr w:rsidR="00FC705A" w14:paraId="2A705D2C" w14:textId="34FDC49D" w:rsidTr="00FC705A">
        <w:tc>
          <w:tcPr>
            <w:tcW w:w="1476" w:type="dxa"/>
            <w:vAlign w:val="bottom"/>
          </w:tcPr>
          <w:p w14:paraId="12DB43DB" w14:textId="4F22CB19"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380.3345035</w:t>
            </w:r>
          </w:p>
        </w:tc>
        <w:tc>
          <w:tcPr>
            <w:tcW w:w="1521" w:type="dxa"/>
            <w:vAlign w:val="bottom"/>
          </w:tcPr>
          <w:p w14:paraId="00C6E82D" w14:textId="04D655A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43.19450186</w:t>
            </w:r>
          </w:p>
        </w:tc>
        <w:tc>
          <w:tcPr>
            <w:tcW w:w="1212" w:type="dxa"/>
            <w:vAlign w:val="bottom"/>
          </w:tcPr>
          <w:p w14:paraId="69C5C1FD" w14:textId="2DA18E4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62AFF73A" w14:textId="29DC6874"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13AC5C17" w14:textId="079FED21"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31.8216095</w:t>
            </w:r>
          </w:p>
        </w:tc>
        <w:tc>
          <w:tcPr>
            <w:tcW w:w="1560" w:type="dxa"/>
            <w:vAlign w:val="bottom"/>
          </w:tcPr>
          <w:p w14:paraId="5655A709" w14:textId="1D58CD4D"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3.129292488</w:t>
            </w:r>
          </w:p>
        </w:tc>
        <w:tc>
          <w:tcPr>
            <w:tcW w:w="1559" w:type="dxa"/>
            <w:vAlign w:val="bottom"/>
          </w:tcPr>
          <w:p w14:paraId="2EF5E574" w14:textId="72C8D34B"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3.76829648</w:t>
            </w:r>
          </w:p>
        </w:tc>
      </w:tr>
      <w:tr w:rsidR="00FC705A" w14:paraId="25C66781" w14:textId="0DA6B1EA" w:rsidTr="00FC705A">
        <w:tc>
          <w:tcPr>
            <w:tcW w:w="1476" w:type="dxa"/>
            <w:vAlign w:val="bottom"/>
          </w:tcPr>
          <w:p w14:paraId="3843C423" w14:textId="1D5ED9A9"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412.4217733</w:t>
            </w:r>
          </w:p>
        </w:tc>
        <w:tc>
          <w:tcPr>
            <w:tcW w:w="1521" w:type="dxa"/>
            <w:vAlign w:val="bottom"/>
          </w:tcPr>
          <w:p w14:paraId="1AC850FB" w14:textId="5AD0F42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29.12291402</w:t>
            </w:r>
          </w:p>
        </w:tc>
        <w:tc>
          <w:tcPr>
            <w:tcW w:w="1212" w:type="dxa"/>
            <w:vAlign w:val="bottom"/>
          </w:tcPr>
          <w:p w14:paraId="11D764A2" w14:textId="1D3321C9"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636</w:t>
            </w:r>
          </w:p>
        </w:tc>
        <w:tc>
          <w:tcPr>
            <w:tcW w:w="1212" w:type="dxa"/>
            <w:vAlign w:val="bottom"/>
          </w:tcPr>
          <w:p w14:paraId="0F3C5E37" w14:textId="4DA3D68A"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1147</w:t>
            </w:r>
          </w:p>
        </w:tc>
        <w:tc>
          <w:tcPr>
            <w:tcW w:w="1689" w:type="dxa"/>
            <w:vAlign w:val="bottom"/>
          </w:tcPr>
          <w:p w14:paraId="19F722C6" w14:textId="216A40A7"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31.81981659</w:t>
            </w:r>
          </w:p>
        </w:tc>
        <w:tc>
          <w:tcPr>
            <w:tcW w:w="1560" w:type="dxa"/>
            <w:vAlign w:val="bottom"/>
          </w:tcPr>
          <w:p w14:paraId="38FDC1A6" w14:textId="043F1C51"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3.129446983</w:t>
            </w:r>
          </w:p>
        </w:tc>
        <w:tc>
          <w:tcPr>
            <w:tcW w:w="1559" w:type="dxa"/>
            <w:vAlign w:val="bottom"/>
          </w:tcPr>
          <w:p w14:paraId="79FACE39" w14:textId="042DF425" w:rsidR="00FC705A" w:rsidRPr="00BE199B" w:rsidRDefault="00FC705A" w:rsidP="00BE199B">
            <w:pPr>
              <w:spacing w:line="276" w:lineRule="auto"/>
              <w:rPr>
                <w:rFonts w:ascii="Times New Roman" w:hAnsi="Times New Roman" w:cs="Times New Roman"/>
                <w:bCs/>
                <w:sz w:val="24"/>
                <w:szCs w:val="24"/>
              </w:rPr>
            </w:pPr>
            <w:r w:rsidRPr="00BE199B">
              <w:rPr>
                <w:rFonts w:ascii="Times New Roman" w:hAnsi="Times New Roman" w:cs="Times New Roman"/>
                <w:color w:val="000000"/>
                <w:sz w:val="24"/>
                <w:szCs w:val="24"/>
              </w:rPr>
              <w:t>3.768177032</w:t>
            </w:r>
          </w:p>
        </w:tc>
      </w:tr>
    </w:tbl>
    <w:p w14:paraId="2E3B465B" w14:textId="77777777" w:rsidR="00CE6450" w:rsidRPr="00BE199B" w:rsidRDefault="00CE6450" w:rsidP="00CE6450">
      <w:pPr>
        <w:spacing w:line="276" w:lineRule="auto"/>
        <w:rPr>
          <w:rFonts w:ascii="Times New Roman" w:hAnsi="Times New Roman" w:cs="Times New Roman"/>
          <w:bCs/>
          <w:sz w:val="24"/>
          <w:szCs w:val="24"/>
        </w:rPr>
      </w:pPr>
    </w:p>
    <w:p w14:paraId="7923C956" w14:textId="505056B9" w:rsidR="007D791E" w:rsidRDefault="007D791E" w:rsidP="007D791E">
      <w:pPr>
        <w:pStyle w:val="ListParagraph"/>
        <w:numPr>
          <w:ilvl w:val="0"/>
          <w:numId w:val="5"/>
        </w:numPr>
        <w:spacing w:line="276" w:lineRule="auto"/>
        <w:rPr>
          <w:rFonts w:ascii="Times New Roman" w:hAnsi="Times New Roman" w:cs="Times New Roman"/>
          <w:b/>
          <w:sz w:val="24"/>
          <w:szCs w:val="24"/>
        </w:rPr>
      </w:pPr>
      <w:r w:rsidRPr="007D791E">
        <w:rPr>
          <w:rFonts w:ascii="Times New Roman" w:hAnsi="Times New Roman" w:cs="Times New Roman"/>
          <w:b/>
          <w:sz w:val="24"/>
          <w:szCs w:val="24"/>
        </w:rPr>
        <w:t xml:space="preserve">CONCLUSION </w:t>
      </w:r>
    </w:p>
    <w:p w14:paraId="087FDBE7" w14:textId="77777777" w:rsidR="007D791E" w:rsidRDefault="007D791E" w:rsidP="007D791E">
      <w:pPr>
        <w:spacing w:line="276" w:lineRule="auto"/>
        <w:rPr>
          <w:rFonts w:ascii="Times New Roman" w:hAnsi="Times New Roman" w:cs="Times New Roman"/>
          <w:b/>
          <w:sz w:val="24"/>
          <w:szCs w:val="24"/>
        </w:rPr>
      </w:pPr>
    </w:p>
    <w:p w14:paraId="5B89939B" w14:textId="77777777" w:rsidR="007D791E" w:rsidRPr="007D791E" w:rsidRDefault="007D791E" w:rsidP="007D791E">
      <w:pPr>
        <w:spacing w:line="276" w:lineRule="auto"/>
        <w:rPr>
          <w:rFonts w:ascii="Times New Roman" w:hAnsi="Times New Roman" w:cs="Times New Roman"/>
          <w:b/>
          <w:sz w:val="24"/>
          <w:szCs w:val="24"/>
        </w:rPr>
      </w:pPr>
    </w:p>
    <w:p w14:paraId="608B7136" w14:textId="12E15FC6" w:rsidR="00BC74AA" w:rsidRPr="007D791E" w:rsidRDefault="007D791E" w:rsidP="00BC74AA">
      <w:pPr>
        <w:spacing w:line="276" w:lineRule="auto"/>
        <w:rPr>
          <w:rFonts w:ascii="Times New Roman" w:hAnsi="Times New Roman" w:cs="Times New Roman"/>
          <w:b/>
          <w:sz w:val="24"/>
          <w:szCs w:val="24"/>
        </w:rPr>
      </w:pPr>
      <w:r w:rsidRPr="007D791E">
        <w:rPr>
          <w:rFonts w:ascii="Times New Roman" w:hAnsi="Times New Roman" w:cs="Times New Roman"/>
          <w:b/>
          <w:sz w:val="24"/>
          <w:szCs w:val="24"/>
        </w:rPr>
        <w:t>REFERENCES</w:t>
      </w:r>
    </w:p>
    <w:p w14:paraId="14445A42" w14:textId="77777777" w:rsidR="00BC74AA" w:rsidRPr="00881D4D" w:rsidRDefault="00BC74AA" w:rsidP="00BC74AA">
      <w:pPr>
        <w:spacing w:line="276" w:lineRule="auto"/>
        <w:rPr>
          <w:rFonts w:ascii="Times New Roman" w:hAnsi="Times New Roman" w:cs="Times New Roman"/>
          <w:bCs/>
          <w:sz w:val="24"/>
          <w:szCs w:val="24"/>
        </w:rPr>
      </w:pPr>
    </w:p>
    <w:p w14:paraId="53DB6AE5" w14:textId="77777777" w:rsidR="00045225" w:rsidRPr="00881D4D" w:rsidRDefault="00045225" w:rsidP="00045225">
      <w:pPr>
        <w:spacing w:line="276" w:lineRule="auto"/>
        <w:rPr>
          <w:rFonts w:ascii="Times New Roman" w:hAnsi="Times New Roman" w:cs="Times New Roman"/>
          <w:bCs/>
          <w:sz w:val="24"/>
          <w:szCs w:val="24"/>
        </w:rPr>
      </w:pPr>
    </w:p>
    <w:p w14:paraId="7912D794" w14:textId="27035DD5" w:rsidR="006005B1" w:rsidRPr="00881D4D" w:rsidRDefault="006005B1" w:rsidP="00045225">
      <w:pPr>
        <w:spacing w:line="360" w:lineRule="auto"/>
        <w:ind w:firstLine="720"/>
        <w:jc w:val="both"/>
        <w:rPr>
          <w:rFonts w:ascii="Times New Roman" w:hAnsi="Times New Roman" w:cs="Times New Roman"/>
          <w:sz w:val="24"/>
          <w:szCs w:val="24"/>
        </w:rPr>
      </w:pPr>
    </w:p>
    <w:sectPr w:rsidR="006005B1" w:rsidRPr="00881D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1228D"/>
    <w:multiLevelType w:val="multilevel"/>
    <w:tmpl w:val="106C83C4"/>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37445C07"/>
    <w:multiLevelType w:val="multilevel"/>
    <w:tmpl w:val="E758C8A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3D11E23"/>
    <w:multiLevelType w:val="multilevel"/>
    <w:tmpl w:val="9788C7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6B35188D"/>
    <w:multiLevelType w:val="hybridMultilevel"/>
    <w:tmpl w:val="2982B8B2"/>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0193A87"/>
    <w:multiLevelType w:val="hybridMultilevel"/>
    <w:tmpl w:val="09647D4E"/>
    <w:lvl w:ilvl="0" w:tplc="08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232939">
    <w:abstractNumId w:val="2"/>
  </w:num>
  <w:num w:numId="2" w16cid:durableId="592475363">
    <w:abstractNumId w:val="0"/>
  </w:num>
  <w:num w:numId="3" w16cid:durableId="722875657">
    <w:abstractNumId w:val="3"/>
  </w:num>
  <w:num w:numId="4" w16cid:durableId="985889439">
    <w:abstractNumId w:val="4"/>
  </w:num>
  <w:num w:numId="5" w16cid:durableId="1507551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BA"/>
    <w:rsid w:val="0000162C"/>
    <w:rsid w:val="00045225"/>
    <w:rsid w:val="000E06FB"/>
    <w:rsid w:val="000E6D0A"/>
    <w:rsid w:val="00141211"/>
    <w:rsid w:val="00147C96"/>
    <w:rsid w:val="00165CA6"/>
    <w:rsid w:val="001D15D7"/>
    <w:rsid w:val="001D467C"/>
    <w:rsid w:val="0024787E"/>
    <w:rsid w:val="002902FE"/>
    <w:rsid w:val="002A08A6"/>
    <w:rsid w:val="00302DFF"/>
    <w:rsid w:val="003105D7"/>
    <w:rsid w:val="00367B94"/>
    <w:rsid w:val="003A6D10"/>
    <w:rsid w:val="003E34BF"/>
    <w:rsid w:val="00430D39"/>
    <w:rsid w:val="00445D81"/>
    <w:rsid w:val="00466DB9"/>
    <w:rsid w:val="004E4FA3"/>
    <w:rsid w:val="00516B9C"/>
    <w:rsid w:val="00527B04"/>
    <w:rsid w:val="00540439"/>
    <w:rsid w:val="00541A3B"/>
    <w:rsid w:val="00591AF7"/>
    <w:rsid w:val="00593C65"/>
    <w:rsid w:val="005B4169"/>
    <w:rsid w:val="005F26F2"/>
    <w:rsid w:val="006005B1"/>
    <w:rsid w:val="00651118"/>
    <w:rsid w:val="006A315B"/>
    <w:rsid w:val="006A3DE1"/>
    <w:rsid w:val="007473CA"/>
    <w:rsid w:val="0076608F"/>
    <w:rsid w:val="007D791E"/>
    <w:rsid w:val="00841422"/>
    <w:rsid w:val="00881D4D"/>
    <w:rsid w:val="008D5581"/>
    <w:rsid w:val="008E6D43"/>
    <w:rsid w:val="008F45D5"/>
    <w:rsid w:val="0093679D"/>
    <w:rsid w:val="0094078D"/>
    <w:rsid w:val="009A4109"/>
    <w:rsid w:val="009D7FC9"/>
    <w:rsid w:val="00A070A6"/>
    <w:rsid w:val="00A51178"/>
    <w:rsid w:val="00AB7A96"/>
    <w:rsid w:val="00AC19B8"/>
    <w:rsid w:val="00AC38D5"/>
    <w:rsid w:val="00B50DC2"/>
    <w:rsid w:val="00BC74AA"/>
    <w:rsid w:val="00BE199B"/>
    <w:rsid w:val="00BE7F41"/>
    <w:rsid w:val="00C12510"/>
    <w:rsid w:val="00C57102"/>
    <w:rsid w:val="00CE6450"/>
    <w:rsid w:val="00D307CB"/>
    <w:rsid w:val="00D42587"/>
    <w:rsid w:val="00D55930"/>
    <w:rsid w:val="00DB2B84"/>
    <w:rsid w:val="00DB36F4"/>
    <w:rsid w:val="00DE6487"/>
    <w:rsid w:val="00F27E2A"/>
    <w:rsid w:val="00F66ABA"/>
    <w:rsid w:val="00FC705A"/>
    <w:rsid w:val="00FE3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602C"/>
  <w15:chartTrackingRefBased/>
  <w15:docId w15:val="{D7A74648-F7B2-4076-8E2C-7C81604E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F41"/>
  </w:style>
  <w:style w:type="paragraph" w:styleId="Heading1">
    <w:name w:val="heading 1"/>
    <w:basedOn w:val="Normal"/>
    <w:next w:val="Normal"/>
    <w:link w:val="Heading1Char"/>
    <w:uiPriority w:val="9"/>
    <w:qFormat/>
    <w:rsid w:val="00F66A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A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A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A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A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A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A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A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A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A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ABA"/>
    <w:rPr>
      <w:rFonts w:eastAsiaTheme="majorEastAsia" w:cstheme="majorBidi"/>
      <w:color w:val="272727" w:themeColor="text1" w:themeTint="D8"/>
    </w:rPr>
  </w:style>
  <w:style w:type="paragraph" w:styleId="Title">
    <w:name w:val="Title"/>
    <w:basedOn w:val="Normal"/>
    <w:next w:val="Normal"/>
    <w:link w:val="TitleChar"/>
    <w:uiPriority w:val="10"/>
    <w:qFormat/>
    <w:rsid w:val="00F66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ABA"/>
    <w:pPr>
      <w:spacing w:before="160"/>
      <w:jc w:val="center"/>
    </w:pPr>
    <w:rPr>
      <w:i/>
      <w:iCs/>
      <w:color w:val="404040" w:themeColor="text1" w:themeTint="BF"/>
    </w:rPr>
  </w:style>
  <w:style w:type="character" w:customStyle="1" w:styleId="QuoteChar">
    <w:name w:val="Quote Char"/>
    <w:basedOn w:val="DefaultParagraphFont"/>
    <w:link w:val="Quote"/>
    <w:uiPriority w:val="29"/>
    <w:rsid w:val="00F66ABA"/>
    <w:rPr>
      <w:i/>
      <w:iCs/>
      <w:color w:val="404040" w:themeColor="text1" w:themeTint="BF"/>
    </w:rPr>
  </w:style>
  <w:style w:type="paragraph" w:styleId="ListParagraph">
    <w:name w:val="List Paragraph"/>
    <w:basedOn w:val="Normal"/>
    <w:uiPriority w:val="34"/>
    <w:qFormat/>
    <w:rsid w:val="00F66ABA"/>
    <w:pPr>
      <w:ind w:left="720"/>
      <w:contextualSpacing/>
    </w:pPr>
  </w:style>
  <w:style w:type="character" w:styleId="IntenseEmphasis">
    <w:name w:val="Intense Emphasis"/>
    <w:basedOn w:val="DefaultParagraphFont"/>
    <w:uiPriority w:val="21"/>
    <w:qFormat/>
    <w:rsid w:val="00F66ABA"/>
    <w:rPr>
      <w:i/>
      <w:iCs/>
      <w:color w:val="2F5496" w:themeColor="accent1" w:themeShade="BF"/>
    </w:rPr>
  </w:style>
  <w:style w:type="paragraph" w:styleId="IntenseQuote">
    <w:name w:val="Intense Quote"/>
    <w:basedOn w:val="Normal"/>
    <w:next w:val="Normal"/>
    <w:link w:val="IntenseQuoteChar"/>
    <w:uiPriority w:val="30"/>
    <w:qFormat/>
    <w:rsid w:val="00F66A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ABA"/>
    <w:rPr>
      <w:i/>
      <w:iCs/>
      <w:color w:val="2F5496" w:themeColor="accent1" w:themeShade="BF"/>
    </w:rPr>
  </w:style>
  <w:style w:type="character" w:styleId="IntenseReference">
    <w:name w:val="Intense Reference"/>
    <w:basedOn w:val="DefaultParagraphFont"/>
    <w:uiPriority w:val="32"/>
    <w:qFormat/>
    <w:rsid w:val="00F66ABA"/>
    <w:rPr>
      <w:b/>
      <w:bCs/>
      <w:smallCaps/>
      <w:color w:val="2F5496" w:themeColor="accent1" w:themeShade="BF"/>
      <w:spacing w:val="5"/>
    </w:rPr>
  </w:style>
  <w:style w:type="table" w:styleId="TableGrid">
    <w:name w:val="Table Grid"/>
    <w:basedOn w:val="TableNormal"/>
    <w:uiPriority w:val="39"/>
    <w:rsid w:val="00F6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1A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591AF7"/>
  </w:style>
  <w:style w:type="character" w:styleId="Strong">
    <w:name w:val="Strong"/>
    <w:basedOn w:val="DefaultParagraphFont"/>
    <w:uiPriority w:val="22"/>
    <w:qFormat/>
    <w:rsid w:val="00591AF7"/>
    <w:rPr>
      <w:b/>
      <w:bCs/>
    </w:rPr>
  </w:style>
  <w:style w:type="character" w:styleId="Emphasis">
    <w:name w:val="Emphasis"/>
    <w:basedOn w:val="DefaultParagraphFont"/>
    <w:uiPriority w:val="20"/>
    <w:qFormat/>
    <w:rsid w:val="00881D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22</Pages>
  <Words>5536</Words>
  <Characters>31558</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kamath</dc:creator>
  <cp:keywords/>
  <dc:description/>
  <cp:lastModifiedBy>pallavi kamath</cp:lastModifiedBy>
  <cp:revision>16</cp:revision>
  <dcterms:created xsi:type="dcterms:W3CDTF">2025-09-07T16:14:00Z</dcterms:created>
  <dcterms:modified xsi:type="dcterms:W3CDTF">2025-09-08T10:13:00Z</dcterms:modified>
</cp:coreProperties>
</file>