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ERP MODULAR PRODUCT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555555"/>
          <w:sz w:val="22"/>
        </w:rPr>
        <w:t>SOFTWARE REQUIREMENTS SPECIFICATION</w:t>
      </w:r>
    </w:p>
    <w:p>
      <w:pPr>
        <w:spacing w:before="120" w:after="240"/>
        <w:pBdr>
          <w:bottom w:val="single" w:sz="18" w:space="1" w:color="0B3D5C"/>
        </w:pBdr>
      </w:pPr>
    </w:p>
    <w:p/>
    <w:p/>
    <w:p>
      <w:pPr>
        <w:jc w:val="center"/>
      </w:pPr>
      <w:r>
        <w:rPr>
          <w:rFonts w:ascii="Times New Roman" w:hAnsi="Times New Roman" w:eastAsia="Times New Roman"/>
          <w:b/>
          <w:i w:val="0"/>
          <w:color w:val="800000"/>
          <w:sz w:val="28"/>
        </w:rPr>
        <w:t>TÀI LIỆU ĐẶC TẢ YÊU CẦU PHẦN MỀM</w:t>
      </w:r>
    </w:p>
    <w:p>
      <w:pPr>
        <w:spacing w:before="360"/>
        <w:jc w:val="center"/>
      </w:pPr>
      <w:r>
        <w:rPr>
          <w:rFonts w:ascii="Times New Roman" w:hAnsi="Times New Roman" w:eastAsia="Times New Roman"/>
          <w:b/>
          <w:i w:val="0"/>
          <w:color w:val="0B3D5C"/>
          <w:sz w:val="44"/>
        </w:rPr>
        <w:t>Tổng quan kiến trúc tích hợp liên module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555555"/>
          <w:sz w:val="28"/>
        </w:rPr>
        <w:t>Software Requirements Specification — Module MOD</w:t>
      </w:r>
    </w:p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Mã tài liệu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SRS-MOD-v1.1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Mã module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MOD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Phiên bản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1.1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Ngày ban hành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03/08/2026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Trạng thái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Chờ duyệt — Tích hợp liên module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Phân loại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Nội bộ dự án — BA / Solution Architecture</w:t>
            </w:r>
          </w:p>
        </w:tc>
      </w:tr>
    </w:tbl>
    <w:p/>
    <w:p/>
    <w:p/>
    <w:p>
      <w:pPr>
        <w:jc w:val="center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Tài liệu chốt nghiệp vụ trước khi thiết kế cấu trúc source &amp; lập trình.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555555"/>
          <w:sz w:val="22"/>
        </w:rPr>
        <w:t>Việt Nam, 03/08/2026</w:t>
      </w:r>
    </w:p>
    <w:p>
      <w:pPr>
        <w:sectPr>
          <w:headerReference w:type="default" r:id="rId9"/>
          <w:footerReference w:type="default" r:id="rId10"/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pStyle w:val="Heading1"/>
      </w:pPr>
      <w:r>
        <w:t>1. Thông tin kiểm soát tài liệu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Trang này ghi nhận thông tin quản lý phiên bản, phân phối và trách nhiệm phê duyệt tài liệu SRS.</w:t>
      </w:r>
    </w:p>
    <w:p>
      <w:pPr>
        <w:pStyle w:val="Heading2"/>
      </w:pPr>
      <w:r>
        <w:t>1.1. Thông tin chung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Tên tài liệu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Tổng quan kiến trúc tích hợp liên module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Mã tài liệu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SRS-MOD-v1.1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Module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MOD — Tổng quan kiến trúc tích hợp liên module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Phiên bản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1.1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Ngày lập / cập nhật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03/08/2026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Ngôn ngữ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Tiếng Việt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Định dạng bàn giao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Microsoft Word (.docx)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Trạng thái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Chờ duyệt — Tích hợp liên module</w:t>
            </w:r>
          </w:p>
        </w:tc>
      </w:tr>
    </w:tbl>
    <w:p>
      <w:pPr>
        <w:pStyle w:val="Heading2"/>
      </w:pPr>
      <w:r>
        <w:t>1.2. Lịch sử thay đổi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Phiên bản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Ngày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Người thực hiện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 thay đổi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Trạng thái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03/08/2026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BA / Solution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Khởi tạo bộ tích hợp liên module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Chờ duyệt</w:t>
            </w:r>
          </w:p>
        </w:tc>
      </w:tr>
    </w:tbl>
    <w:p>
      <w:pPr>
        <w:pStyle w:val="Heading2"/>
      </w:pPr>
      <w:r>
        <w:t>1.3. Danh sách phân phối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Đối tượng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Mục đích sử dụng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Chủ sản phẩm / PO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Phê duyệt phạm vi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Business Analyst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Biên soạn / cập nhật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Solution Architect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Rà soát khả thi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Tech Lead / QA Lead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Ước lượng &amp; kế hoạch kiểm thử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Presales / Triển khai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Tham chiếu đóng gói bán module</w:t>
            </w:r>
          </w:p>
        </w:tc>
      </w:tr>
    </w:tbl>
    <w:p>
      <w:r>
        <w:br w:type="page"/>
      </w:r>
    </w:p>
    <w:p>
      <w:pPr>
        <w:pStyle w:val="Heading1"/>
      </w:pPr>
      <w:r>
        <w:t>2. Mục lục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Mục lục được tạo tự động từ các tiêu đề trong tài liệu. Khi mở bằng Microsoft Word, hãy </w:t>
      </w:r>
      <w:r>
        <w:rPr>
          <w:rFonts w:ascii="Times New Roman" w:hAnsi="Times New Roman" w:eastAsia="Times New Roman"/>
          <w:b/>
          <w:i w:val="0"/>
          <w:sz w:val="22"/>
        </w:rPr>
        <w:t>cập nhật trường mục lục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(Right-click → Update Field) nếu Word chưa tự cập nhật.</w:t>
      </w:r>
    </w:p>
    <w:p/>
    <w:p>
      <w:pPr>
        <w:jc w:val="left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Times New Roman" w:hAnsi="Times New Roman" w:eastAsia="Times New Roman"/>
          <w:b w:val="0"/>
          <w:i/>
          <w:color w:val="555555"/>
          <w:sz w:val="22"/>
        </w:rPr>
        <w:t>[Mục lục sẽ hiển thị tại đây. Trong Microsoft Word: chuột phải → Update Field / Cập nhật trường → Update entire table.]</w:t>
      </w:r>
      <w:r>
        <w:fldChar w:fldCharType="end"/>
      </w:r>
    </w:p>
    <w:p>
      <w:r>
        <w:rPr>
          <w:rFonts w:ascii="Times New Roman" w:hAnsi="Times New Roman" w:eastAsia="Times New Roman"/>
          <w:b w:val="0"/>
          <w:i/>
          <w:color w:val="555555"/>
          <w:sz w:val="20"/>
        </w:rPr>
        <w:t>Gợi ý: View → Outline để kiểm tra cấu trúc Heading 1 / Heading 2 / Heading 3 trước khi phát hành.</w:t>
      </w:r>
    </w:p>
    <w:p>
      <w:r>
        <w:br w:type="page"/>
      </w:r>
    </w:p>
    <w:p>
      <w:pPr>
        <w:pStyle w:val="Heading1"/>
      </w:pPr>
      <w:r>
        <w:t>3. Giới thiệu</w:t>
      </w:r>
    </w:p>
    <w:p>
      <w:pPr>
        <w:pStyle w:val="Heading2"/>
      </w:pPr>
      <w:r>
        <w:t>3.1. Mục đích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Tài liệu mô tả </w:t>
      </w:r>
      <w:r>
        <w:rPr>
          <w:rFonts w:ascii="Times New Roman" w:hAnsi="Times New Roman" w:eastAsia="Times New Roman"/>
          <w:b/>
          <w:i w:val="0"/>
          <w:sz w:val="24"/>
        </w:rPr>
        <w:t>nguyên tắc và mô hình tích hợp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giữa 16 module ERP, làm căn cứ chung trước khi thiết kế API/Event và cấu trúc source.</w:t>
      </w:r>
    </w:p>
    <w:p>
      <w:pPr>
        <w:pStyle w:val="Heading2"/>
      </w:pPr>
      <w:r>
        <w:t>3.2. Phạm vi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Tích hợp </w:t>
      </w:r>
      <w:r>
        <w:rPr>
          <w:rFonts w:ascii="Times New Roman" w:hAnsi="Times New Roman" w:eastAsia="Times New Roman"/>
          <w:b/>
          <w:i w:val="0"/>
          <w:sz w:val="24"/>
        </w:rPr>
        <w:t>nội bộ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giữa các module sản phẩm (qua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Khung tích hợp </w:t>
      </w:r>
      <w:r>
        <w:rPr>
          <w:rFonts w:ascii="Times New Roman" w:hAnsi="Times New Roman" w:eastAsia="Times New Roman"/>
          <w:b/>
          <w:i w:val="0"/>
          <w:sz w:val="24"/>
        </w:rPr>
        <w:t>bên ngoài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(SSO, email/SMS, thanh toán, 3PL, HĐĐT) — mức logic.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Không mô tả chi tiết UI từng màn hình (thuộc SRS module).</w:t>
      </w:r>
    </w:p>
    <w:p>
      <w:pPr>
        <w:pStyle w:val="Heading2"/>
      </w:pPr>
      <w:r>
        <w:t>3.3. Đối tượng đọc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Solution Architect, Tech Lead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Business Analyst (chốt journey E2E)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Presales (giải thích gói bán kèm module)</w:t>
      </w:r>
    </w:p>
    <w:p>
      <w:pPr>
        <w:pStyle w:val="Heading1"/>
      </w:pPr>
      <w:r>
        <w:t>4. Bản đồ sản phẩm</w:t>
      </w:r>
    </w:p>
    <w:p>
      <w:pPr>
        <w:ind w:left="283"/>
      </w:pPr>
      <w:r>
        <w:rPr>
          <w:rFonts w:ascii="Consolas" w:hAnsi="Consolas" w:eastAsia="Consolas"/>
          <w:b w:val="0"/>
          <w:i w:val="0"/>
          <w:sz w:val="18"/>
        </w:rPr>
        <w:t xml:space="preserve">                         +------------------+</w:t>
        <w:br/>
        <w:t xml:space="preserve">                         |   Clients Web    |</w:t>
        <w:br/>
        <w:t xml:space="preserve">                         |  (Shell + packs) |</w:t>
        <w:br/>
        <w:t xml:space="preserve">                         +--------+---------+</w:t>
        <w:br/>
        <w:t xml:space="preserve">                                  |</w:t>
        <w:br/>
        <w:t xml:space="preserve">                         +--------v---------+</w:t>
        <w:br/>
        <w:t xml:space="preserve">                         |       SYS        |</w:t>
        <w:br/>
        <w:t xml:space="preserve">                         | Auth RBAC License|</w:t>
        <w:br/>
        <w:t xml:space="preserve">                         | Org File Notify  |</w:t>
        <w:br/>
        <w:t xml:space="preserve">                         |   Event Bus      |</w:t>
        <w:br/>
        <w:t xml:space="preserve">                         +--------+---------+</w:t>
        <w:br/>
        <w:t xml:space="preserve">                                  |</w:t>
        <w:br/>
        <w:t xml:space="preserve">     +------------+-------+-------+--------+-----------+</w:t>
        <w:br/>
        <w:t xml:space="preserve">     |            |       |       |        |           |</w:t>
        <w:br/>
        <w:t xml:space="preserve">   HRM/LMS     CRM/POS  PUR/INV  MFG/FSM  FIN/AST    WF/BI/PRT</w:t>
        <w:br/>
        <w:t xml:space="preserve">               LOG/PJM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Lớp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Module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Vai trò tích hợp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Nền tảng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Identity, quyền, license, bus, file, thông báo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Ngang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WF, BI, PRT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/ phân tích / cổng ngoài — nối nhiều module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Nhân sự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HRM, LMS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Vòng đời người &amp; năng lực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Thương mại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CRM, POS, PRT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Bán hàng &amp; trải nghiệm KH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Chuỗi cung ứng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PUR, INV, LOG, MFG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Mua – kho – giao – sản xuất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Tài sản &amp; tiền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FIN, AST, FSM, PJM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Tiền, tài sản, dịch vụ, dự án</w:t>
            </w:r>
          </w:p>
        </w:tc>
      </w:tr>
    </w:tbl>
    <w:p/>
    <w:p>
      <w:pPr>
        <w:pStyle w:val="Heading1"/>
      </w:pPr>
      <w:r>
        <w:t>5. Nguyên tắc tích hợp (bắt buộc)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Nguyên tắc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P1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SYS-first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Mọi module bắt buộc phụ thuộc SYS; không tự auth/RBAC riêng.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P2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Event over hard-call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Module không gọi API nội bộ module khác trực tiếp (trừ đọc master qua contract SYS/shared). Ưu tiên publish/subscribe.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P3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Single owner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Mỗi master data có đúng một module sở hữu; module khác chỉ reference ID.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P4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License gate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Middleware SYS chặn API/UI khi license module tắt; dữ liệu không bị xóa.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P5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Data scope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Mọi truy vấn xuyên module tôn trọng data scope (chi nhánh/kho/đơn vị).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P6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Idempotent consumer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Consumer sự kiện xử lý được trùng lặp an toàn (ít nhất một lần giao).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P7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Audit &amp; trace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Sự kiện nghiệp vụ trọng yếu có correlation id + audit.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P8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Degrade gracefully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Module phụ thuộc mềm thiếu license → ẩn tính năng, không làm sập module chính.</w:t>
            </w:r>
          </w:p>
        </w:tc>
      </w:tr>
    </w:tbl>
    <w:p/>
    <w:p>
      <w:pPr>
        <w:pStyle w:val="Heading1"/>
      </w:pPr>
      <w:r>
        <w:t>6. Mô hình giao tiếp</w:t>
      </w:r>
    </w:p>
    <w:p>
      <w:pPr>
        <w:pStyle w:val="Heading2"/>
      </w:pPr>
      <w:r>
        <w:t>6.1. Ba kênh chuẩn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Kênh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Khi nào dùng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Ví dụ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Command / API đồng bộ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Cần kết quả ngay, cùng transaction biên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Reserve tồn khi xác nhận SO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Domain Event (async)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Thông báo đã xảy ra, fan-out nhiều subscriber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PayrollPosted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→ FIN tạo bút toán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Shared read model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Tra cứu master ổn định, ít thay đổi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CustomerId, ItemId, EmployeeId</w:t>
            </w:r>
          </w:p>
        </w:tc>
      </w:tr>
    </w:tbl>
    <w:p/>
    <w:p>
      <w:pPr>
        <w:pStyle w:val="Heading2"/>
      </w:pPr>
      <w:r>
        <w:t>6.2. Vai trò Event Bus (SYS)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Module nguồn </w:t>
      </w:r>
      <w:r>
        <w:rPr>
          <w:rFonts w:ascii="Times New Roman" w:hAnsi="Times New Roman" w:eastAsia="Times New Roman"/>
          <w:b/>
          <w:i w:val="0"/>
          <w:sz w:val="24"/>
        </w:rPr>
        <w:t>publish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sự kiện sau khi commit giao dịch thành công.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SYS lưu </w:t>
      </w:r>
      <w:r>
        <w:rPr>
          <w:rFonts w:ascii="Times New Roman" w:hAnsi="Times New Roman" w:eastAsia="Times New Roman"/>
          <w:b/>
          <w:i w:val="0"/>
          <w:sz w:val="24"/>
        </w:rPr>
        <w:t>Outbox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(đảm bảo không mất event).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Subscriber nhận, xử lý idempotent, ghi </w:t>
      </w:r>
      <w:r>
        <w:rPr>
          <w:rFonts w:ascii="Times New Roman" w:hAnsi="Times New Roman" w:eastAsia="Times New Roman"/>
          <w:b/>
          <w:i w:val="0"/>
          <w:sz w:val="24"/>
        </w:rPr>
        <w:t>Inbox/Processed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Lỗi → retry có backoff + Dead Letter + cảnh báo vận hành.</w:t>
      </w:r>
    </w:p>
    <w:p>
      <w:pPr>
        <w:pStyle w:val="Heading2"/>
      </w:pPr>
      <w:r>
        <w:t>6.3. Đồng bộ vs bất đồng bộ (gợi ý)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Tình huống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Kiểm tra ATP / trừ tồn tại quầy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Đồng bộ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Post lương sang FIN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Bất đồng bộ + đối soát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Gửi thông báo duyệt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Bất đồng bộ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lệnh giao từ đơn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Đồng bộ tạo chứng từ + event trạng thái</w:t>
            </w:r>
          </w:p>
        </w:tc>
      </w:tr>
    </w:tbl>
    <w:p/>
    <w:p>
      <w:pPr>
        <w:pStyle w:val="Heading1"/>
      </w:pPr>
      <w:r>
        <w:t>7. Ranh giới trách nhiệm SYS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Khả năng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SYS cung cấp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Module nghiệp vụ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Đăng nhập / phiên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Có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Không tự quản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Permission catalog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Đăng ký &amp; enforce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Khai báo mã quyền của mình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Sequence / mã chứng từ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Cấp số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nghĩa pattern nghiệp vụ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File đính kèm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Lưu &amp; ACL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Gắn metadata nghiệp vụ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Thông báo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Template + kênh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Trigger nội dung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Workflow duyệt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Không bắt buộc sở hữu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Có thể dùng WF hoặc duyệt nội bộ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Event Bus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Hạ tầng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Publish / subscribe business events</w:t>
            </w:r>
          </w:p>
        </w:tc>
      </w:tr>
    </w:tbl>
    <w:p/>
    <w:p>
      <w:pPr>
        <w:pStyle w:val="Heading1"/>
      </w:pPr>
      <w:r>
        <w:t>8. Master data — chủ sở hữu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Thực thể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Module sở hữu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Module tham chiếu chính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Tenant / User / Role / Org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Tất cả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Employee / Contract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HRM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LMS, FIN, PJM, AST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Customer / Lead / Opportunity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CRM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POS, LOG, FIN, FSM, PRT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Vendor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PUR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FIN (AP), INV (GRN)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Item / UoM / Warehouse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INV </w:t>
            </w:r>
            <w:r>
              <w:rPr>
                <w:rFonts w:ascii="Times New Roman" w:hAnsi="Times New Roman" w:eastAsia="Times New Roman"/>
                <w:b w:val="0"/>
                <w:i/>
                <w:sz w:val="20"/>
              </w:rPr>
              <w:t>(hoặc master hàng hóa chung thuộc INV)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POS, PUR, LOG, MFG, CRM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Chart of Accounts / Period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FIN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HRM, AST, CRM, PUR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Asset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AST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FIN, HRM, PUR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Project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PJM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FIN, INV, HRM, CRM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Course / Certificate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LMS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HRM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Ticket / Work Order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FSM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CRM, INV, PRT</w:t>
            </w:r>
          </w:p>
        </w:tc>
      </w:tr>
    </w:tbl>
    <w:p/>
    <w:p>
      <w:pPr>
        <w:ind w:left="283"/>
      </w:pPr>
      <w:r>
        <w:rPr>
          <w:rFonts w:ascii="Times New Roman" w:hAnsi="Times New Roman" w:eastAsia="Times New Roman"/>
          <w:b w:val="0"/>
          <w:i/>
          <w:color w:val="555555"/>
          <w:sz w:val="22"/>
        </w:rPr>
        <w:t xml:space="preserve">Quy tắc: </w:t>
      </w:r>
      <w:r>
        <w:rPr>
          <w:rFonts w:ascii="Times New Roman" w:hAnsi="Times New Roman" w:eastAsia="Times New Roman"/>
          <w:b/>
          <w:i/>
          <w:color w:val="555555"/>
          <w:sz w:val="22"/>
        </w:rPr>
        <w:t>cấm nhân bản lệch</w:t>
      </w:r>
      <w:r>
        <w:rPr>
          <w:rFonts w:ascii="Times New Roman" w:hAnsi="Times New Roman" w:eastAsia="Times New Roman"/>
          <w:b w:val="0"/>
          <w:i/>
          <w:color w:val="555555"/>
          <w:sz w:val="22"/>
        </w:rPr>
        <w:t xml:space="preserve"> — khi cần hiển thị, đọc theo ID hoặc projection chỉ đọc.</w:t>
      </w:r>
    </w:p>
    <w:p>
      <w:pPr>
        <w:pStyle w:val="Heading1"/>
      </w:pPr>
      <w:r>
        <w:t>9. License &amp; đóng gói bán</w:t>
      </w:r>
    </w:p>
    <w:p>
      <w:pPr>
        <w:pStyle w:val="Heading2"/>
      </w:pPr>
      <w:r>
        <w:t>9.1. Hard dependency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Mọi module nghiệp vụ: </w:t>
      </w:r>
      <w:r>
        <w:rPr>
          <w:rFonts w:ascii="Times New Roman" w:hAnsi="Times New Roman" w:eastAsia="Times New Roman"/>
          <w:b/>
          <w:i w:val="0"/>
          <w:sz w:val="24"/>
        </w:rPr>
        <w:t>SYS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LOG: khuyến nghị cứng </w:t>
      </w:r>
      <w:r>
        <w:rPr>
          <w:rFonts w:ascii="Times New Roman" w:hAnsi="Times New Roman" w:eastAsia="Times New Roman"/>
          <w:b/>
          <w:i w:val="0"/>
          <w:sz w:val="24"/>
        </w:rPr>
        <w:t>INV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(xuất/nhập giao).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MFG: khuyến nghị cứng </w:t>
      </w:r>
      <w:r>
        <w:rPr>
          <w:rFonts w:ascii="Times New Roman" w:hAnsi="Times New Roman" w:eastAsia="Times New Roman"/>
          <w:b/>
          <w:i w:val="0"/>
          <w:sz w:val="24"/>
        </w:rPr>
        <w:t>INV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(NVL/TP).</w:t>
      </w:r>
    </w:p>
    <w:p>
      <w:pPr>
        <w:pStyle w:val="Heading2"/>
      </w:pPr>
      <w:r>
        <w:t>9.2. Soft dependency (tính năng E2E)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Ví dụ: HRM chạy được thiếu FIN (không post bút toán); CRM chạy được thiếu LOG (không tạo chuyến).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Chi tiết ma trận: tài liệu </w:t>
      </w:r>
      <w:r>
        <w:rPr>
          <w:rFonts w:ascii="Times New Roman" w:hAnsi="Times New Roman" w:eastAsia="Times New Roman"/>
          <w:b/>
          <w:i w:val="0"/>
          <w:sz w:val="24"/>
        </w:rPr>
        <w:t>INT-02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pStyle w:val="Heading1"/>
      </w:pPr>
      <w:r>
        <w:t>10. An toàn &amp; tuân thủ tích hợp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Mọi API liên module đi qua auth SYS + permission + license.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Field nhạy cảm (lương, CCCD, giá vốn) không lộ qua event thô nếu subscriber thiếu quyền.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Webhook outbound (SYS) ký secret; không nhúng credential module vào event payload.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CorrelationId bắt buộc trên event nghiệp vụ trọng yếu để QA/trace.</w:t>
      </w:r>
    </w:p>
    <w:p>
      <w:pPr>
        <w:pStyle w:val="Heading1"/>
      </w:pPr>
      <w:r>
        <w:t>11. Truy vết tài liệu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Artifact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Vị trí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SRS từng module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../01. Modules/**/SRS_*_v1.1.docx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Chuẩn tích hợp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00_CHUAN_TAI_LIEU.md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Ma trận phụ thuộc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INT-02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Catalog sự kiện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INT-03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Luồng E2E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INT-04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Đồng bộ &amp; lỗi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INT-05</w:t>
            </w:r>
          </w:p>
        </w:tc>
      </w:tr>
    </w:tbl>
    <w:p/>
    <w:p>
      <w:r>
        <w:rPr>
          <w:rFonts w:ascii="Times New Roman" w:hAnsi="Times New Roman" w:eastAsia="Times New Roman"/>
          <w:b w:val="0"/>
          <w:i/>
          <w:sz w:val="24"/>
        </w:rPr>
        <w:t>Hết INT-01-v1.0.</w:t>
      </w:r>
    </w:p>
    <w:p>
      <w:r>
        <w:br w:type="page"/>
      </w:r>
    </w:p>
    <w:p>
      <w:pPr>
        <w:pStyle w:val="Heading1"/>
      </w:pPr>
      <w:r>
        <w:t>Trang kết — Phê duyệt &amp; Đóng tài liệu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Khi các bên liên quan thống nhất nội dung SRS này, vui lòng ký xác nhận bên dưới. Sau khi phê duyệt, phiên bản được </w:t>
      </w:r>
      <w:r>
        <w:rPr>
          <w:rFonts w:ascii="Times New Roman" w:hAnsi="Times New Roman" w:eastAsia="Times New Roman"/>
          <w:b/>
          <w:i w:val="0"/>
          <w:sz w:val="24"/>
        </w:rPr>
        <w:t>đóng băng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để làm căn cứ thiết kế cấu trúc source và phát triển.</w:t>
      </w:r>
    </w:p>
    <w:p>
      <w:pPr>
        <w:pStyle w:val="Heading2"/>
      </w:pPr>
      <w:r>
        <w:t>A. Kết luận phạm vi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Tài liệu đã mô tả đủ phạm vi In/Out, use case, workflow, BR, NFR và tiêu chí nghiệm thu của module.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Các hạng mục còn mở (nếu có) phải được chốt hoặc chuyển backlog có mã theo dõi trước khi code.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Mọi thay đổi sau phê duyệt phải tạo phiên bản SRS mới và ghi lịch sử thay đổi.</w:t>
      </w:r>
    </w:p>
    <w:p>
      <w:pPr>
        <w:pStyle w:val="Heading2"/>
      </w:pPr>
      <w:r>
        <w:t>B. Bảng phê duyệt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Vai trò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Họ và tên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Chữ ký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Ngày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Người biên soạn (BA)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Solution Architect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Chủ sản phẩm / PO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Đại diện kỹ thuật (Tech Lead)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</w:tbl>
    <w:p>
      <w:pPr>
        <w:pStyle w:val="Heading2"/>
      </w:pPr>
      <w:r>
        <w:t>C. Cam kết sau phê duyệt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Không triển khai trái với SRS đã duyệt trừ khi có Change Request được chấp thuận.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QA lập kịch bản kiểm thử truy vết về mã UC trong tài liệu này.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Bản Word (</w:t>
      </w:r>
      <w:r>
        <w:rPr>
          <w:rFonts w:ascii="Consolas" w:hAnsi="Consolas" w:eastAsia="Consolas"/>
          <w:b w:val="0"/>
          <w:i w:val="0"/>
          <w:color w:val="0B3D5C"/>
          <w:sz w:val="22"/>
        </w:rPr>
        <w:t>.docx</w:t>
      </w:r>
      <w:r>
        <w:rPr>
          <w:rFonts w:ascii="Times New Roman" w:hAnsi="Times New Roman" w:eastAsia="Times New Roman"/>
          <w:b w:val="0"/>
          <w:i w:val="0"/>
          <w:sz w:val="24"/>
        </w:rPr>
        <w:t>) là bản gốc bàn giao; không dùng bản nháp khác làm căn cứ nghiệm thu.</w:t>
      </w:r>
    </w:p>
    <w:p/>
    <w:p>
      <w:pPr>
        <w:spacing w:before="120" w:after="240"/>
        <w:pBdr>
          <w:bottom w:val="single" w:sz="18" w:space="1" w:color="0B3D5C"/>
        </w:pBdr>
      </w:pPr>
    </w:p>
    <w:p>
      <w:pPr>
        <w:jc w:val="center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— HẾT TÀI LIỆU —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555555"/>
          <w:sz w:val="20"/>
        </w:rPr>
        <w:t>SRS-MOD-v1.1  ·  Version 1.1  ·  03/08/2026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247" w:right="1417" w:bottom="1247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4" w:color="0B3D5C"/>
      </w:pBdr>
    </w:pPr>
    <w:r/>
    <w:r>
      <w:rPr>
        <w:rFonts w:ascii="Times New Roman" w:hAnsi="Times New Roman" w:eastAsia="Times New Roman"/>
        <w:b w:val="0"/>
        <w:i w:val="0"/>
        <w:color w:val="555555"/>
        <w:sz w:val="18"/>
      </w:rPr>
      <w:t xml:space="preserve">Trang </w:t>
    </w:r>
    <w: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 w:eastAsia="Times New Roman"/>
        <w:b w:val="0"/>
        <w:i w:val="0"/>
        <w:color w:val="555555"/>
        <w:sz w:val="18"/>
      </w:rPr>
      <w:t>1</w:t>
    </w:r>
    <w:r>
      <w:fldChar w:fldCharType="end"/>
    </w:r>
    <w:r>
      <w:rPr>
        <w:rFonts w:ascii="Times New Roman" w:hAnsi="Times New Roman" w:eastAsia="Times New Roman"/>
        <w:b w:val="0"/>
        <w:i w:val="0"/>
        <w:color w:val="555555"/>
        <w:sz w:val="18"/>
      </w:rP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 w:eastAsia="Times New Roman"/>
        <w:b w:val="0"/>
        <w:i w:val="0"/>
        <w:color w:val="555555"/>
        <w:sz w:val="18"/>
      </w:rPr>
      <w:t>1</w:t>
    </w:r>
    <w:r>
      <w:fldChar w:fldCharType="end"/>
    </w:r>
    <w:r>
      <w:rPr>
        <w:rFonts w:ascii="Times New Roman" w:hAnsi="Times New Roman" w:eastAsia="Times New Roman"/>
        <w:b w:val="0"/>
        <w:i w:val="0"/>
        <w:color w:val="555555"/>
        <w:sz w:val="18"/>
      </w:rPr>
      <w:t xml:space="preserve">  ·  Bảo mật: Nội bộ dự án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4" w:color="0B3D5C"/>
      </w:pBdr>
    </w:pPr>
    <w:r/>
    <w:r>
      <w:rPr>
        <w:rFonts w:ascii="Times New Roman" w:hAnsi="Times New Roman" w:eastAsia="Times New Roman"/>
        <w:b w:val="0"/>
        <w:i/>
        <w:color w:val="555555"/>
        <w:sz w:val="18"/>
      </w:rPr>
      <w:t>SRS-MOD-v1.1  |  Tổng quan kiến trúc tích hợp liên module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B3D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B3D5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B3D5C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60"/>
      <w:outlineLvl w:val="3"/>
    </w:pPr>
    <w:rPr>
      <w:rFonts w:asciiTheme="majorHAnsi" w:eastAsiaTheme="majorEastAsia" w:hAnsiTheme="majorHAnsi" w:cstheme="majorBidi" w:ascii="Times New Roman" w:hAnsi="Times New Roman" w:eastAsia="Times New Roman"/>
      <w:b/>
      <w:bCs/>
      <w:i/>
      <w:iCs/>
      <w:color w:val="0B3D5C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