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ERP MODULAR PRODUCT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PRODUCT PACKAGING DOCUMENT</w:t>
      </w:r>
    </w:p>
    <w:p>
      <w:pPr>
        <w:spacing w:before="120" w:after="240"/>
        <w:pBdr>
          <w:bottom w:val="single" w:sz="18" w:space="1" w:color="0B3D5C"/>
        </w:pBdr>
      </w:pPr>
    </w:p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800000"/>
          <w:sz w:val="28"/>
        </w:rPr>
        <w:t>TÀI LIỆU GÓI BÁN HÀNG / ĐÓNG GÓI SẢN PHẨM</w:t>
      </w:r>
    </w:p>
    <w:p>
      <w:pPr>
        <w:spacing w:before="36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44"/>
        </w:rPr>
        <w:t>Catalog SKU module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8"/>
        </w:rPr>
        <w:t>Product Packaging &amp; Commercial Catalog — Modular ERP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tài liệu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PKG-02-v1.0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Bộ tài liệu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PKG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Phiên bản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1.0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Ngày ban hành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Trạng thái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— Gói bán hàng / Presales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Phân loại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Nội bộ dự án — Presales / BA / Delivery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Tài liệu đóng gói thương mại — dùng trước báo giá và kickoff triển khai.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Việt Nam, 03/08/2026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1. Thông tin kiểm soát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Trang này ghi nhận thông tin quản lý phiên bản, phân phối và trách nhiệm phê duyệt tài liệu SRS.</w:t>
      </w:r>
    </w:p>
    <w:p>
      <w:pPr>
        <w:pStyle w:val="Heading2"/>
      </w:pPr>
      <w:r>
        <w:t>1.1. Thông tin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Catalog SKU module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Mã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PKG-02-v1.0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Module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PKG — Gói bán hàng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Phiên bản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1.0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Ngày lập / cập nhật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Ngôn ngữ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Tiếng Việt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Định dạng bàn giao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Microsoft Word (.docx)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Trạng thái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— Gói bán hàng / Presales</w:t>
            </w:r>
          </w:p>
        </w:tc>
      </w:tr>
    </w:tbl>
    <w:p>
      <w:pPr>
        <w:pStyle w:val="Heading2"/>
      </w:pPr>
      <w:r>
        <w:t>1.2.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 thay đổi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Presales / BA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bộ Gói bán hàng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>
      <w:pPr>
        <w:pStyle w:val="Heading2"/>
      </w:pPr>
      <w:r>
        <w:t>1.3. Danh sách phân phối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Đối tượng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 sử dụng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sản phẩm / PO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Phê duyệt phạm vi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Business Analyst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soạn / cập nhật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Architect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Rà soát khả thi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 Lead / QA Lead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Ước lượng &amp; kế hoạch kiểm thử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Presales / Triển khai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Tham chiếu đóng gói bán module</w:t>
            </w:r>
          </w:p>
        </w:tc>
      </w:tr>
    </w:tbl>
    <w:p>
      <w:r>
        <w:br w:type="page"/>
      </w:r>
    </w:p>
    <w:p>
      <w:pPr>
        <w:pStyle w:val="Heading1"/>
      </w:pPr>
      <w:r>
        <w:t>2. Mục lục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Mục lục được tạo tự động từ các tiêu đề trong tài liệu. Khi mở bằng Microsoft Word, hãy </w:t>
      </w:r>
      <w:r>
        <w:rPr>
          <w:rFonts w:ascii="Times New Roman" w:hAnsi="Times New Roman" w:eastAsia="Times New Roman"/>
          <w:b/>
          <w:i w:val="0"/>
          <w:sz w:val="22"/>
        </w:rPr>
        <w:t>cập nhật trường mục lục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(Right-click → Update Field) nếu Word chưa tự cập nhật.</w:t>
      </w:r>
    </w:p>
    <w:p/>
    <w:p>
      <w:pPr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[Mục lục sẽ hiển thị tại đây. Trong Microsoft Word: chuột phải → Update Field / Cập nhật trường → Update entire table.]</w:t>
      </w:r>
      <w:r>
        <w:fldChar w:fldCharType="end"/>
      </w:r>
    </w:p>
    <w:p>
      <w:r>
        <w:rPr>
          <w:rFonts w:ascii="Times New Roman" w:hAnsi="Times New Roman" w:eastAsia="Times New Roman"/>
          <w:b w:val="0"/>
          <w:i/>
          <w:color w:val="555555"/>
          <w:sz w:val="20"/>
        </w:rPr>
        <w:t>Gợi ý: View → Outline để kiểm tra cấu trúc Heading 1 / Heading 2 / Heading 3 trước khi phát hành.</w:t>
      </w:r>
    </w:p>
    <w:p>
      <w:r>
        <w:br w:type="page"/>
      </w:r>
    </w:p>
    <w:p>
      <w:pPr>
        <w:pStyle w:val="Heading1"/>
      </w:pPr>
      <w:r>
        <w:t>3. Giới thiệu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Danh mục </w:t>
      </w:r>
      <w:r>
        <w:rPr>
          <w:rFonts w:ascii="Times New Roman" w:hAnsi="Times New Roman" w:eastAsia="Times New Roman"/>
          <w:b/>
          <w:i w:val="0"/>
          <w:sz w:val="24"/>
        </w:rPr>
        <w:t>16 SKU module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đơn vị bán nhỏ nhất (SYS là SKU nền, không bán độc lập).</w:t>
      </w:r>
    </w:p>
    <w:p>
      <w:pPr>
        <w:pStyle w:val="Heading1"/>
      </w:pPr>
      <w:r>
        <w:t>4. Bảng tổng hợp SKU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Bán riêng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Hard (Must)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Soft (Should)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mua chính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 1 dòng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Hệ thống nền tảng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— luôn kèm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Mọi khách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Auth, RBAC, license, org, audit, bus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trị nhân sự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WF, FIN, LMS, AST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HCNS / People Ops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sơ–công–phép–lương–nghỉ việc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LMS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Đào tạo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HRM, CRM, FIN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Đào tạo / Compliance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học, thi, chứng chỉ, lộ trình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CRM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 &amp; Bán hàng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INV, LOG, FIN, WF, PRT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Sales / CSKH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Lead→Opportunity→SO→công nợ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 bán lẻ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INV, FIN, CRM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Retail Ops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bán, thanh toán, tồn quầy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Mua hàng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INV, FIN, WF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Procurement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PR→PO→nhận hàng→AP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Kho &amp; Tồn kho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PUR, LOG, POS, MFG, FIN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Warehouse / Supply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Master hàng, tồn, nhập xuất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vận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SYS, INV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CRM, FIN, PRT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Logistics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giao, tracking, đối soát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Sản xuất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SYS, INV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PUR, FIN, HRM, CRM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Production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BOM, lệnh SX, NVL/TP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Dịch vụ kỹ thuật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CRM, INV, FIN, PRT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Field Service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Ticket, lịch kỹ thuật, linh kiện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dự án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CRM, INV, FIN, HRM, WF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PMO / Delivery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Dự án, task, ngân sách, quyết toán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chính – Kế toán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CRM, PUR, INV, POS, HRM, AST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toán / CFO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GL, AR/AP, sổ, khóa kỳ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tài sản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FIN, HRM, PUR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Admin / Asset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sản, khấu hao, bàn giao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việc &amp; Phê duyệt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 (hoặc kèm SYS)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Mọi module có duyệt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Governance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 trình duyệt tập trung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&amp; BI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Dataset theo license nguồn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Management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Dashboard, dataset có kiểm soát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Cổng khách hàng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CRM, LOG, FIN, FSM, PUR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CSKH / Self-service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 KH: đơn, công nợ, ticket</w:t>
            </w:r>
          </w:p>
        </w:tc>
      </w:tr>
    </w:tbl>
    <w:p/>
    <w:p>
      <w:pPr>
        <w:pStyle w:val="Heading1"/>
      </w:pPr>
      <w:r>
        <w:t>5. Chi tiết từng SKU</w:t>
      </w:r>
    </w:p>
    <w:p>
      <w:pPr>
        <w:pStyle w:val="Heading2"/>
      </w:pPr>
      <w:r>
        <w:t>3.SYS. `SYS` — Hệ thống nền tảng</w:t>
      </w:r>
    </w:p>
    <w:p>
      <w:r>
        <w:rPr>
          <w:rFonts w:ascii="Times New Roman" w:hAnsi="Times New Roman" w:eastAsia="Times New Roman"/>
          <w:b/>
          <w:i w:val="0"/>
          <w:sz w:val="24"/>
        </w:rPr>
        <w:t>Giá trị bán: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Nền tảng bắt buộc: đăng nhập, RBAC + data scope 4 tầng, org/department/job level, license, menu, file, thông báo, audit, outbox/inbox.</w:t>
      </w:r>
    </w:p>
    <w:p>
      <w:r>
        <w:rPr>
          <w:rFonts w:ascii="Times New Roman" w:hAnsi="Times New Roman" w:eastAsia="Times New Roman"/>
          <w:b/>
          <w:i w:val="0"/>
          <w:sz w:val="24"/>
        </w:rPr>
        <w:t>Ghi chú đóng gói: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tắt khi còn module khác active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Quota user/tenant áp dụng tại đây</w:t>
      </w:r>
    </w:p>
    <w:p>
      <w:r>
        <w:rPr>
          <w:rFonts w:ascii="Times New Roman" w:hAnsi="Times New Roman" w:eastAsia="Times New Roman"/>
          <w:b/>
          <w:i w:val="0"/>
          <w:sz w:val="24"/>
        </w:rPr>
        <w:t>Hay nằm trong bundle: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Mọi gói</w:t>
      </w:r>
    </w:p>
    <w:p>
      <w:pPr>
        <w:pStyle w:val="Heading2"/>
      </w:pPr>
      <w:r>
        <w:t>3.HRM. `HRM` — Quản trị nhân sự</w:t>
      </w:r>
    </w:p>
    <w:p>
      <w:r>
        <w:rPr>
          <w:rFonts w:ascii="Times New Roman" w:hAnsi="Times New Roman" w:eastAsia="Times New Roman"/>
          <w:b/>
          <w:i w:val="0"/>
          <w:sz w:val="24"/>
        </w:rPr>
        <w:t>Giá trị bán: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Vòng đời nhân sự: hồ sơ, hợp đồng, chấm công/phép, lương (khung), điều chuyển, nghỉ việc.</w:t>
      </w:r>
    </w:p>
    <w:p>
      <w:r>
        <w:rPr>
          <w:rFonts w:ascii="Times New Roman" w:hAnsi="Times New Roman" w:eastAsia="Times New Roman"/>
          <w:b/>
          <w:i w:val="0"/>
          <w:sz w:val="24"/>
        </w:rPr>
        <w:t>Ghi chú đóng gói: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Cần SYS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Nên kèm WF nếu duyệt phép/tuyển tập trung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FIN nếu post chi phí lương</w:t>
      </w:r>
    </w:p>
    <w:p>
      <w:r>
        <w:rPr>
          <w:rFonts w:ascii="Times New Roman" w:hAnsi="Times New Roman" w:eastAsia="Times New Roman"/>
          <w:b/>
          <w:i w:val="0"/>
          <w:sz w:val="24"/>
        </w:rPr>
        <w:t>Hay nằm trong bundle: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Gói Nhân sự số, Enterprise full</w:t>
      </w:r>
    </w:p>
    <w:p>
      <w:pPr>
        <w:pStyle w:val="Heading2"/>
      </w:pPr>
      <w:r>
        <w:t>3.LMS. `LMS` — Đào tạo</w:t>
      </w:r>
    </w:p>
    <w:p>
      <w:r>
        <w:rPr>
          <w:rFonts w:ascii="Times New Roman" w:hAnsi="Times New Roman" w:eastAsia="Times New Roman"/>
          <w:b/>
          <w:i w:val="0"/>
          <w:sz w:val="24"/>
        </w:rPr>
        <w:t>Giá trị bán: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Đào tạo nội bộ / compliance: chương trình, lớp, bài thi, chứng chỉ, lộ trình theo vị trí.</w:t>
      </w:r>
    </w:p>
    <w:p>
      <w:r>
        <w:rPr>
          <w:rFonts w:ascii="Times New Roman" w:hAnsi="Times New Roman" w:eastAsia="Times New Roman"/>
          <w:b/>
          <w:i w:val="0"/>
          <w:sz w:val="24"/>
        </w:rPr>
        <w:t>Ghi chú đóng gói: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Chạy độc lập trên SYS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Gán NV theo vị trí tốt hơn khi có HRM</w:t>
      </w:r>
    </w:p>
    <w:p>
      <w:r>
        <w:rPr>
          <w:rFonts w:ascii="Times New Roman" w:hAnsi="Times New Roman" w:eastAsia="Times New Roman"/>
          <w:b/>
          <w:i w:val="0"/>
          <w:sz w:val="24"/>
        </w:rPr>
        <w:t>Hay nằm trong bundle: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Gói Nhân sự số, Compliance</w:t>
      </w:r>
    </w:p>
    <w:p>
      <w:pPr>
        <w:pStyle w:val="Heading2"/>
      </w:pPr>
      <w:r>
        <w:t>3.CRM. `CRM` — CRM &amp; Bán hàng</w:t>
      </w:r>
    </w:p>
    <w:p>
      <w:r>
        <w:rPr>
          <w:rFonts w:ascii="Times New Roman" w:hAnsi="Times New Roman" w:eastAsia="Times New Roman"/>
          <w:b/>
          <w:i w:val="0"/>
          <w:sz w:val="24"/>
        </w:rPr>
        <w:t>Giá trị bán: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Pipeline bán hàng B2B/B2C: lead, cơ hội, báo giá, đơn bán, CSKH.</w:t>
      </w:r>
    </w:p>
    <w:p>
      <w:r>
        <w:rPr>
          <w:rFonts w:ascii="Times New Roman" w:hAnsi="Times New Roman" w:eastAsia="Times New Roman"/>
          <w:b/>
          <w:i w:val="0"/>
          <w:sz w:val="24"/>
        </w:rPr>
        <w:t>Ghi chú đóng gói: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Giao hàng &amp; tồn cần INV+LOG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Công nợ cần FIN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Portal cần PRT</w:t>
      </w:r>
    </w:p>
    <w:p>
      <w:r>
        <w:rPr>
          <w:rFonts w:ascii="Times New Roman" w:hAnsi="Times New Roman" w:eastAsia="Times New Roman"/>
          <w:b/>
          <w:i w:val="0"/>
          <w:sz w:val="24"/>
        </w:rPr>
        <w:t>Hay nằm trong bundle: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Gói Bán hàng &amp; phân phối, Dịch vụ &amp; dự án</w:t>
      </w:r>
    </w:p>
    <w:p>
      <w:pPr>
        <w:pStyle w:val="Heading2"/>
      </w:pPr>
      <w:r>
        <w:t>3.POS. `POS` — POS bán lẻ</w:t>
      </w:r>
    </w:p>
    <w:p>
      <w:r>
        <w:rPr>
          <w:rFonts w:ascii="Times New Roman" w:hAnsi="Times New Roman" w:eastAsia="Times New Roman"/>
          <w:b/>
          <w:i w:val="0"/>
          <w:sz w:val="24"/>
        </w:rPr>
        <w:t>Giá trị bán: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Bán tại quầy: ca, giỏ hàng, thanh toán, khuyến mãi tại điểm bán.</w:t>
      </w:r>
    </w:p>
    <w:p>
      <w:r>
        <w:rPr>
          <w:rFonts w:ascii="Times New Roman" w:hAnsi="Times New Roman" w:eastAsia="Times New Roman"/>
          <w:b/>
          <w:i w:val="0"/>
          <w:sz w:val="24"/>
        </w:rPr>
        <w:t>Ghi chú đóng gói: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Trừ tồn realtime nên có INV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Đối soát quỹ/doanh thu nên có FIN</w:t>
      </w:r>
    </w:p>
    <w:p>
      <w:r>
        <w:rPr>
          <w:rFonts w:ascii="Times New Roman" w:hAnsi="Times New Roman" w:eastAsia="Times New Roman"/>
          <w:b/>
          <w:i w:val="0"/>
          <w:sz w:val="24"/>
        </w:rPr>
        <w:t>Hay nằm trong bundle: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Gói Bán lẻ</w:t>
      </w:r>
    </w:p>
    <w:p>
      <w:pPr>
        <w:pStyle w:val="Heading2"/>
      </w:pPr>
      <w:r>
        <w:t>3.PUR. `PUR` — Mua hàng</w:t>
      </w:r>
    </w:p>
    <w:p>
      <w:r>
        <w:rPr>
          <w:rFonts w:ascii="Times New Roman" w:hAnsi="Times New Roman" w:eastAsia="Times New Roman"/>
          <w:b/>
          <w:i w:val="0"/>
          <w:sz w:val="24"/>
        </w:rPr>
        <w:t>Giá trị bán: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Mua hàng: nhu cầu, PR, PO, theo dõi NCC, nhận hàng gắn kho.</w:t>
      </w:r>
    </w:p>
    <w:p>
      <w:r>
        <w:rPr>
          <w:rFonts w:ascii="Times New Roman" w:hAnsi="Times New Roman" w:eastAsia="Times New Roman"/>
          <w:b/>
          <w:i w:val="0"/>
          <w:sz w:val="24"/>
        </w:rPr>
        <w:t>Ghi chú đóng gói: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GRN/tồn cần INV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Công nợ NCC cần FIN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Duyệt PR/PO nên có WF</w:t>
      </w:r>
    </w:p>
    <w:p>
      <w:r>
        <w:rPr>
          <w:rFonts w:ascii="Times New Roman" w:hAnsi="Times New Roman" w:eastAsia="Times New Roman"/>
          <w:b/>
          <w:i w:val="0"/>
          <w:sz w:val="24"/>
        </w:rPr>
        <w:t>Hay nằm trong bundle: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Gói Mua–Kho–SX, Procure-to-Pay</w:t>
      </w:r>
    </w:p>
    <w:p>
      <w:pPr>
        <w:pStyle w:val="Heading2"/>
      </w:pPr>
      <w:r>
        <w:t>3.INV. `INV` — Kho &amp; Tồn kho</w:t>
      </w:r>
    </w:p>
    <w:p>
      <w:r>
        <w:rPr>
          <w:rFonts w:ascii="Times New Roman" w:hAnsi="Times New Roman" w:eastAsia="Times New Roman"/>
          <w:b/>
          <w:i w:val="0"/>
          <w:sz w:val="24"/>
        </w:rPr>
        <w:t>Giá trị bán: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Master hàng hóa, kho, tồn, nhập/xuất/điều chuyển, kiểm kê.</w:t>
      </w:r>
    </w:p>
    <w:p>
      <w:r>
        <w:rPr>
          <w:rFonts w:ascii="Times New Roman" w:hAnsi="Times New Roman" w:eastAsia="Times New Roman"/>
          <w:b/>
          <w:i w:val="0"/>
          <w:sz w:val="24"/>
        </w:rPr>
        <w:t>Ghi chú đóng gói: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Hard cho LOG/MFG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Trục trung tâm chuỗi cung ứng</w:t>
      </w:r>
    </w:p>
    <w:p>
      <w:r>
        <w:rPr>
          <w:rFonts w:ascii="Times New Roman" w:hAnsi="Times New Roman" w:eastAsia="Times New Roman"/>
          <w:b/>
          <w:i w:val="0"/>
          <w:sz w:val="24"/>
        </w:rPr>
        <w:t>Hay nằm trong bundle: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Hầu hết gói vận hành hàng hóa</w:t>
      </w:r>
    </w:p>
    <w:p>
      <w:pPr>
        <w:pStyle w:val="Heading2"/>
      </w:pPr>
      <w:r>
        <w:t>3.LOG. `LOG` — Giao vận</w:t>
      </w:r>
    </w:p>
    <w:p>
      <w:r>
        <w:rPr>
          <w:rFonts w:ascii="Times New Roman" w:hAnsi="Times New Roman" w:eastAsia="Times New Roman"/>
          <w:b/>
          <w:i w:val="0"/>
          <w:sz w:val="24"/>
        </w:rPr>
        <w:t>Giá trị bán: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Giao vận: lệnh giao, tuyến, trạng thái giao, đối soát vận chuyển.</w:t>
      </w:r>
    </w:p>
    <w:p>
      <w:r>
        <w:rPr>
          <w:rFonts w:ascii="Times New Roman" w:hAnsi="Times New Roman" w:eastAsia="Times New Roman"/>
          <w:b/>
          <w:i w:val="0"/>
          <w:sz w:val="24"/>
        </w:rPr>
        <w:t>Ghi chú đóng gói: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Must có INV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Theo dõi đơn/KH tốt hơn với CRM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Portal tracking với PRT</w:t>
      </w:r>
    </w:p>
    <w:p>
      <w:r>
        <w:rPr>
          <w:rFonts w:ascii="Times New Roman" w:hAnsi="Times New Roman" w:eastAsia="Times New Roman"/>
          <w:b/>
          <w:i w:val="0"/>
          <w:sz w:val="24"/>
        </w:rPr>
        <w:t>Hay nằm trong bundle: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Gói Bán hàng &amp; phân phối</w:t>
      </w:r>
    </w:p>
    <w:p>
      <w:pPr>
        <w:pStyle w:val="Heading2"/>
      </w:pPr>
      <w:r>
        <w:t>3.MFG. `MFG` — Sản xuất</w:t>
      </w:r>
    </w:p>
    <w:p>
      <w:r>
        <w:rPr>
          <w:rFonts w:ascii="Times New Roman" w:hAnsi="Times New Roman" w:eastAsia="Times New Roman"/>
          <w:b/>
          <w:i w:val="0"/>
          <w:sz w:val="24"/>
        </w:rPr>
        <w:t>Giá trị bán: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Sản xuất: BOM, lệnh SX, xuất NVL, nhập TP, báo cáo sản lượng.</w:t>
      </w:r>
    </w:p>
    <w:p>
      <w:r>
        <w:rPr>
          <w:rFonts w:ascii="Times New Roman" w:hAnsi="Times New Roman" w:eastAsia="Times New Roman"/>
          <w:b/>
          <w:i w:val="0"/>
          <w:sz w:val="24"/>
        </w:rPr>
        <w:t>Ghi chú đóng gói: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Must có INV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Giá thành/FIN và mua NVL/PUR nên kèm</w:t>
      </w:r>
    </w:p>
    <w:p>
      <w:r>
        <w:rPr>
          <w:rFonts w:ascii="Times New Roman" w:hAnsi="Times New Roman" w:eastAsia="Times New Roman"/>
          <w:b/>
          <w:i w:val="0"/>
          <w:sz w:val="24"/>
        </w:rPr>
        <w:t>Hay nằm trong bundle: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Gói Mua–Kho–SX</w:t>
      </w:r>
    </w:p>
    <w:p>
      <w:pPr>
        <w:pStyle w:val="Heading2"/>
      </w:pPr>
      <w:r>
        <w:t>3.FSM. `FSM` — Dịch vụ kỹ thuật</w:t>
      </w:r>
    </w:p>
    <w:p>
      <w:r>
        <w:rPr>
          <w:rFonts w:ascii="Times New Roman" w:hAnsi="Times New Roman" w:eastAsia="Times New Roman"/>
          <w:b/>
          <w:i w:val="0"/>
          <w:sz w:val="24"/>
        </w:rPr>
        <w:t>Giá trị bán: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Dịch vụ hiện trường: ticket, lịch kỹ thuật viên, vật tư hiện trường.</w:t>
      </w:r>
    </w:p>
    <w:p>
      <w:r>
        <w:rPr>
          <w:rFonts w:ascii="Times New Roman" w:hAnsi="Times New Roman" w:eastAsia="Times New Roman"/>
          <w:b/>
          <w:i w:val="0"/>
          <w:sz w:val="24"/>
        </w:rPr>
        <w:t>Ghi chú đóng gói: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CRM cho hợp đồng KH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INV cho linh kiện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PRT cho self-service</w:t>
      </w:r>
    </w:p>
    <w:p>
      <w:r>
        <w:rPr>
          <w:rFonts w:ascii="Times New Roman" w:hAnsi="Times New Roman" w:eastAsia="Times New Roman"/>
          <w:b/>
          <w:i w:val="0"/>
          <w:sz w:val="24"/>
        </w:rPr>
        <w:t>Hay nằm trong bundle: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Gói Dịch vụ &amp; dự án</w:t>
      </w:r>
    </w:p>
    <w:p>
      <w:pPr>
        <w:pStyle w:val="Heading2"/>
      </w:pPr>
      <w:r>
        <w:t>3.PJM. `PJM` — Quản lý dự án</w:t>
      </w:r>
    </w:p>
    <w:p>
      <w:r>
        <w:rPr>
          <w:rFonts w:ascii="Times New Roman" w:hAnsi="Times New Roman" w:eastAsia="Times New Roman"/>
          <w:b/>
          <w:i w:val="0"/>
          <w:sz w:val="24"/>
        </w:rPr>
        <w:t>Giá trị bán: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Quản lý dự án: WBS/task, tiến độ, ngân sách, quyết toán.</w:t>
      </w:r>
    </w:p>
    <w:p>
      <w:r>
        <w:rPr>
          <w:rFonts w:ascii="Times New Roman" w:hAnsi="Times New Roman" w:eastAsia="Times New Roman"/>
          <w:b/>
          <w:i w:val="0"/>
          <w:sz w:val="24"/>
        </w:rPr>
        <w:t>Ghi chú đóng gói: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Doanh thu/chi phí với FIN+CRM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Vật tư với INV</w:t>
      </w:r>
    </w:p>
    <w:p>
      <w:r>
        <w:rPr>
          <w:rFonts w:ascii="Times New Roman" w:hAnsi="Times New Roman" w:eastAsia="Times New Roman"/>
          <w:b/>
          <w:i w:val="0"/>
          <w:sz w:val="24"/>
        </w:rPr>
        <w:t>Hay nằm trong bundle: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Gói Dịch vụ &amp; dự án</w:t>
      </w:r>
    </w:p>
    <w:p>
      <w:pPr>
        <w:pStyle w:val="Heading2"/>
      </w:pPr>
      <w:r>
        <w:t>3.FIN. `FIN` — Tài chính – Kế toán</w:t>
      </w:r>
    </w:p>
    <w:p>
      <w:r>
        <w:rPr>
          <w:rFonts w:ascii="Times New Roman" w:hAnsi="Times New Roman" w:eastAsia="Times New Roman"/>
          <w:b/>
          <w:i w:val="0"/>
          <w:sz w:val="24"/>
        </w:rPr>
        <w:t>Giá trị bán: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Kế toán: danh mục TK, chứng từ, AR/AP, sổ cái, khóa kỳ, báo cáo tài chính khung.</w:t>
      </w:r>
    </w:p>
    <w:p>
      <w:r>
        <w:rPr>
          <w:rFonts w:ascii="Times New Roman" w:hAnsi="Times New Roman" w:eastAsia="Times New Roman"/>
          <w:b/>
          <w:i w:val="0"/>
          <w:sz w:val="24"/>
        </w:rPr>
        <w:t>Ghi chú đóng gói: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Là hub post từ nhiều module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bắt buộc Day-1 mọi SME — nhưng cần cho E2E tiền</w:t>
      </w:r>
    </w:p>
    <w:p>
      <w:r>
        <w:rPr>
          <w:rFonts w:ascii="Times New Roman" w:hAnsi="Times New Roman" w:eastAsia="Times New Roman"/>
          <w:b/>
          <w:i w:val="0"/>
          <w:sz w:val="24"/>
        </w:rPr>
        <w:t>Hay nằm trong bundle: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Mọi gói có dòng tiền / sổ sách</w:t>
      </w:r>
    </w:p>
    <w:p>
      <w:pPr>
        <w:pStyle w:val="Heading2"/>
      </w:pPr>
      <w:r>
        <w:t>3.AST. `AST` — Quản lý tài sản</w:t>
      </w:r>
    </w:p>
    <w:p>
      <w:r>
        <w:rPr>
          <w:rFonts w:ascii="Times New Roman" w:hAnsi="Times New Roman" w:eastAsia="Times New Roman"/>
          <w:b/>
          <w:i w:val="0"/>
          <w:sz w:val="24"/>
        </w:rPr>
        <w:t>Giá trị bán: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Tài sản cố định / CCDC: danh mục, bàn giao, khấu hao, thanh lý.</w:t>
      </w:r>
    </w:p>
    <w:p>
      <w:r>
        <w:rPr>
          <w:rFonts w:ascii="Times New Roman" w:hAnsi="Times New Roman" w:eastAsia="Times New Roman"/>
          <w:b/>
          <w:i w:val="0"/>
          <w:sz w:val="24"/>
        </w:rPr>
        <w:t>Ghi chú đóng gói: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Khấu hao/FIN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Thu hồi khi nghỉ việc/HRM</w:t>
      </w:r>
    </w:p>
    <w:p>
      <w:r>
        <w:rPr>
          <w:rFonts w:ascii="Times New Roman" w:hAnsi="Times New Roman" w:eastAsia="Times New Roman"/>
          <w:b/>
          <w:i w:val="0"/>
          <w:sz w:val="24"/>
        </w:rPr>
        <w:t>Hay nằm trong bundle: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Gói Nhân sự số, Enterprise</w:t>
      </w:r>
    </w:p>
    <w:p>
      <w:pPr>
        <w:pStyle w:val="Heading2"/>
      </w:pPr>
      <w:r>
        <w:t>3.WF. `WF` — Công việc &amp; Phê duyệt</w:t>
      </w:r>
    </w:p>
    <w:p>
      <w:r>
        <w:rPr>
          <w:rFonts w:ascii="Times New Roman" w:hAnsi="Times New Roman" w:eastAsia="Times New Roman"/>
          <w:b/>
          <w:i w:val="0"/>
          <w:sz w:val="24"/>
        </w:rPr>
        <w:t>Giá trị bán: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Engine phê duyệt tập trung: định nghĩa quy trình, task, ủy quyền.</w:t>
      </w:r>
    </w:p>
    <w:p>
      <w:r>
        <w:rPr>
          <w:rFonts w:ascii="Times New Roman" w:hAnsi="Times New Roman" w:eastAsia="Times New Roman"/>
          <w:b/>
          <w:i w:val="0"/>
          <w:sz w:val="24"/>
        </w:rPr>
        <w:t>Ghi chú đóng gói: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bắt buộc nếu module có duyệt nội bộ đơn giản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Khuyến nghị khi nhiều chứng từ Must approve</w:t>
      </w:r>
    </w:p>
    <w:p>
      <w:r>
        <w:rPr>
          <w:rFonts w:ascii="Times New Roman" w:hAnsi="Times New Roman" w:eastAsia="Times New Roman"/>
          <w:b/>
          <w:i w:val="0"/>
          <w:sz w:val="24"/>
        </w:rPr>
        <w:t>Hay nằm trong bundle: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Mọi gói governance</w:t>
      </w:r>
    </w:p>
    <w:p>
      <w:pPr>
        <w:pStyle w:val="Heading2"/>
      </w:pPr>
      <w:r>
        <w:t>3.BI. `BI` — Báo cáo &amp; BI</w:t>
      </w:r>
    </w:p>
    <w:p>
      <w:r>
        <w:rPr>
          <w:rFonts w:ascii="Times New Roman" w:hAnsi="Times New Roman" w:eastAsia="Times New Roman"/>
          <w:b/>
          <w:i w:val="0"/>
          <w:sz w:val="24"/>
        </w:rPr>
        <w:t>Giá trị bán: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Lớp báo cáo/dashboard; dataset chỉ mở theo license module nguồn.</w:t>
      </w:r>
    </w:p>
    <w:p>
      <w:r>
        <w:rPr>
          <w:rFonts w:ascii="Times New Roman" w:hAnsi="Times New Roman" w:eastAsia="Times New Roman"/>
          <w:b/>
          <w:i w:val="0"/>
          <w:sz w:val="24"/>
        </w:rPr>
        <w:t>Ghi chú đóng gói: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thay thế báo cáo vận hành trong từng module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Bán kèm khi cần C-level view</w:t>
      </w:r>
    </w:p>
    <w:p>
      <w:r>
        <w:rPr>
          <w:rFonts w:ascii="Times New Roman" w:hAnsi="Times New Roman" w:eastAsia="Times New Roman"/>
          <w:b/>
          <w:i w:val="0"/>
          <w:sz w:val="24"/>
        </w:rPr>
        <w:t>Hay nằm trong bundle: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Add-on hầu hết gói</w:t>
      </w:r>
    </w:p>
    <w:p>
      <w:pPr>
        <w:pStyle w:val="Heading2"/>
      </w:pPr>
      <w:r>
        <w:t>3.PRT. `PRT` — Cổng khách hàng</w:t>
      </w:r>
    </w:p>
    <w:p>
      <w:r>
        <w:rPr>
          <w:rFonts w:ascii="Times New Roman" w:hAnsi="Times New Roman" w:eastAsia="Times New Roman"/>
          <w:b/>
          <w:i w:val="0"/>
          <w:sz w:val="24"/>
        </w:rPr>
        <w:t>Giá trị bán: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Cổng khách hàng / đối tác: xem đơn, công nợ, ticket, tài liệu.</w:t>
      </w:r>
    </w:p>
    <w:p>
      <w:r>
        <w:rPr>
          <w:rFonts w:ascii="Times New Roman" w:hAnsi="Times New Roman" w:eastAsia="Times New Roman"/>
          <w:b/>
          <w:i w:val="0"/>
          <w:sz w:val="24"/>
        </w:rPr>
        <w:t>Ghi chú đóng gói: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Phụ thuộc dữ liệu CRM/LOG/FIN/FSM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Bảo mật portal role riêng</w:t>
      </w:r>
    </w:p>
    <w:p>
      <w:r>
        <w:rPr>
          <w:rFonts w:ascii="Times New Roman" w:hAnsi="Times New Roman" w:eastAsia="Times New Roman"/>
          <w:b/>
          <w:i w:val="0"/>
          <w:sz w:val="24"/>
        </w:rPr>
        <w:t>Hay nằm trong bundle: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Gói Bán hàng, Dịch vụ</w:t>
      </w:r>
    </w:p>
    <w:p>
      <w:pPr>
        <w:pStyle w:val="Heading1"/>
      </w:pPr>
      <w:r>
        <w:t>6. Quy tắc đặt hàng SKU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Luôn có dòng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SYS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trên báo giá.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Nếu chọn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LOG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hoặc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MFG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→ bắt buộc có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INV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cùng Phase.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Mỗi SKU Soft nên có cột Phase (1/2) trên báo giá.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Không đổi tên mã module trên hợp đồng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HRM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CRM</w:t>
      </w:r>
      <w:r>
        <w:rPr>
          <w:rFonts w:ascii="Times New Roman" w:hAnsi="Times New Roman" w:eastAsia="Times New Roman"/>
          <w:b w:val="0"/>
          <w:i w:val="0"/>
          <w:sz w:val="24"/>
        </w:rPr>
        <w:t>…) — giữ ổn định license.</w:t>
      </w:r>
    </w:p>
    <w:p>
      <w:r>
        <w:rPr>
          <w:rFonts w:ascii="Times New Roman" w:hAnsi="Times New Roman" w:eastAsia="Times New Roman"/>
          <w:b w:val="0"/>
          <w:i/>
          <w:sz w:val="24"/>
        </w:rPr>
        <w:t>Hết PKG-02-v1.0.</w:t>
      </w:r>
    </w:p>
    <w:p>
      <w:r>
        <w:br w:type="page"/>
      </w:r>
    </w:p>
    <w:p>
      <w:pPr>
        <w:pStyle w:val="Heading1"/>
      </w:pPr>
      <w:r>
        <w:t>Trang kết — Phê duyệt &amp; Đóng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Khi các bên liên quan thống nhất nội dung SRS này, vui lòng ký xác nhận bên dưới. Sau khi phê duyệt, phiên bản được </w:t>
      </w:r>
      <w:r>
        <w:rPr>
          <w:rFonts w:ascii="Times New Roman" w:hAnsi="Times New Roman" w:eastAsia="Times New Roman"/>
          <w:b/>
          <w:i w:val="0"/>
          <w:sz w:val="24"/>
        </w:rPr>
        <w:t>đóng băng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để làm căn cứ thiết kế cấu trúc source và phát triển.</w:t>
      </w:r>
    </w:p>
    <w:p>
      <w:pPr>
        <w:pStyle w:val="Heading2"/>
      </w:pPr>
      <w:r>
        <w:t>A. Kết luận phạm vi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Tài liệu đã mô tả đủ phạm vi In/Out, use case, workflow, BR, NFR và tiêu chí nghiệm thu của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Các hạng mục còn mở (nếu có) phải được chốt hoặc chuyển backlog có mã theo dõi trước khi code.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thay đổi sau phê duyệt phải tạo phiên bản SRS mới và ghi lịch sử thay đổi.</w:t>
      </w:r>
    </w:p>
    <w:p>
      <w:pPr>
        <w:pStyle w:val="Heading2"/>
      </w:pPr>
      <w:r>
        <w:t>B. Bảng 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Họ và 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Chữ ký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Người biên soạn (BA)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Solution Architect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Chủ sản phẩm / PO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Đại diện kỹ thuật (Tech Lead)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pStyle w:val="Heading2"/>
      </w:pPr>
      <w:r>
        <w:t>C. Cam kết sau phê duyệt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triển khai trái với SRS đã duyệt trừ khi có Change Request được chấp thuận.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QA lập kịch bản kiểm thử truy vết về mã UC trong tài liệu này.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Bản Word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.docx</w:t>
      </w:r>
      <w:r>
        <w:rPr>
          <w:rFonts w:ascii="Times New Roman" w:hAnsi="Times New Roman" w:eastAsia="Times New Roman"/>
          <w:b w:val="0"/>
          <w:i w:val="0"/>
          <w:sz w:val="24"/>
        </w:rPr>
        <w:t>) là bản gốc bàn giao; không dùng bản nháp khác làm căn cứ nghiệm thu.</w:t>
      </w:r>
    </w:p>
    <w:p/>
    <w:p>
      <w:pPr>
        <w:spacing w:before="120" w:after="240"/>
        <w:pBdr>
          <w:bottom w:val="single" w:sz="18" w:space="1" w:color="0B3D5C"/>
        </w:pBdr>
      </w:pP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— HẾT TÀI LIỆU —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0"/>
        </w:rPr>
        <w:t>PKG-02-v1.0  ·  Version 1.0  ·  03/08/2026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247" w:right="1417" w:bottom="124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0B3D5C"/>
      </w:pBdr>
    </w:pPr>
    <w:r/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 ·  Bảo mật: Nội bộ dự án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0B3D5C"/>
      </w:pBdr>
    </w:pPr>
    <w:r/>
    <w:r>
      <w:rPr>
        <w:rFonts w:ascii="Times New Roman" w:hAnsi="Times New Roman" w:eastAsia="Times New Roman"/>
        <w:b w:val="0"/>
        <w:i/>
        <w:color w:val="555555"/>
        <w:sz w:val="18"/>
      </w:rPr>
      <w:t>PKG-02-v1.0  |  Gói bán hàng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B3D5C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