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Tổng quan &amp; chuẩn thiết kế cơ sở dữ liệu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MOD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Database Design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Solution / DBA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Tổng quan &amp; chuẩn thiết kế cơ sở dữ liệu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 — Tổng quan &amp; chuẩn thiết kế cơ sở dữ liệu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Database Design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/ DBA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Database Design Document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Thiết lập </w:t>
      </w:r>
      <w:r>
        <w:rPr>
          <w:rFonts w:ascii="Times New Roman" w:hAnsi="Times New Roman" w:eastAsia="Times New Roman"/>
          <w:b/>
          <w:i w:val="0"/>
          <w:sz w:val="24"/>
        </w:rPr>
        <w:t>kiến trúc dữ liệu thống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cho ERP đa module: quy ước schema, multi-tenant, khóa, audit, soft-delete — làm chuẩn bắt buộc trước khi viết migration.</w:t>
      </w:r>
    </w:p>
    <w:p>
      <w:pPr>
        <w:pStyle w:val="Heading2"/>
      </w:pPr>
      <w:r>
        <w:t>3.2.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Mô hình logic theo schema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Quy ước đặt tên, kiểu dữ liệu, ràng buộc chung.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Hướng dẫn vật lý Phase 1 (chưa thay thế script SQL chi tiết từng môi trường).</w:t>
      </w:r>
    </w:p>
    <w:p>
      <w:pPr>
        <w:pStyle w:val="Heading2"/>
      </w:pPr>
      <w:r>
        <w:t>3.3. Ngoài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Tối ưu query cụ thể từng báo cáo BI.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Thiết kế kho dữ liệu analytic riêng (data warehouse) — thuộc BI nâng cao.</w:t>
      </w:r>
    </w:p>
    <w:p>
      <w:pPr>
        <w:pStyle w:val="Heading1"/>
      </w:pPr>
      <w:r>
        <w:t>4. Kiến trúc CSDL Phase 1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 xml:space="preserve">  ┌─────────────────────────────────────────────┐</w:t>
        <w:br/>
        <w:t xml:space="preserve">  │         Database (1 cluster / tenant)        │</w:t>
        <w:br/>
        <w:t xml:space="preserve">  │  ┌─────┐ ┌─────┐ ┌─────┐ ┌─────┐ ┌─────┐   │</w:t>
        <w:br/>
        <w:t xml:space="preserve">  │  │ sys │ │ hrm │ │ crm │ │ inv │ │ fin │…  │</w:t>
        <w:br/>
        <w:t xml:space="preserve">  │  └─────┘ └─────┘ └─────┘ └─────┘ └─────┘   │</w:t>
        <w:br/>
        <w:t xml:space="preserve">  │         FK / Ref ID xuyên schema             │</w:t>
        <w:br/>
        <w:t xml:space="preserve">  └─────────────────────────────────────────────┘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Quyết định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Lựa chọn Phase 1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tách module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Schema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theo mã module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Multi-tenant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Cột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trên hầu hết bảng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thể tách DB riêng tenant enterprise sau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Engine gợi ý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PostgreSQL 15+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(hoặc SQL Server tương đương)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Chốt kỹ thuật khi vào Source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Charset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UTF-8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Tiếng Việt đầy đủ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UTC; hiển thị theo TZ tenant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timestamptz</w:t>
            </w:r>
          </w:p>
        </w:tc>
      </w:tr>
    </w:tbl>
    <w:p/>
    <w:p>
      <w:pPr>
        <w:pStyle w:val="Heading2"/>
      </w:pPr>
      <w:r>
        <w:t>4.1. Danh sách schema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Schema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lms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(metadata; dataset có thể read-only)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</w:tr>
    </w:tbl>
    <w:p/>
    <w:p>
      <w:pPr>
        <w:pStyle w:val="Heading1"/>
      </w:pPr>
      <w:r>
        <w:t>5. Quy ước đặt tên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Quy ước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Ví dụ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Schema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snake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ngắn = mã module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snake_case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số ít hoặc danh từ nghiệp vụ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sales_order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Cột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snake_case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full_name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ordered_at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{table}_id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hoặc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(UUID)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{ref}_id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uq_{table}_{cols}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uq_employee_code_tenant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Index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ix_{table}_{cols}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ix_so_tenant_status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ck_{table}_{rule}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ck_qty_positive</w:t>
            </w:r>
          </w:p>
        </w:tc>
      </w:tr>
    </w:tbl>
    <w:p/>
    <w:p>
      <w:pPr>
        <w:pStyle w:val="Heading2"/>
      </w:pPr>
      <w:r>
        <w:t>5.1. Khóa chính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Phase 1 khuyến nghị </w:t>
      </w:r>
      <w:r>
        <w:rPr>
          <w:rFonts w:ascii="Times New Roman" w:hAnsi="Times New Roman" w:eastAsia="Times New Roman"/>
          <w:b/>
          <w:i w:val="0"/>
          <w:sz w:val="24"/>
        </w:rPr>
        <w:t>UUID v7 / ULID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(hoặc UUID v4) cho PK phân tán &amp; merge.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Mã nghiệp vụ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code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 </w:t>
      </w:r>
      <w:r>
        <w:rPr>
          <w:rFonts w:ascii="Times New Roman" w:hAnsi="Times New Roman" w:eastAsia="Times New Roman"/>
          <w:b/>
          <w:i w:val="0"/>
          <w:sz w:val="24"/>
        </w:rPr>
        <w:t>không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dùng làm PK; có unique theo tenant.</w:t>
      </w:r>
    </w:p>
    <w:p>
      <w:pPr>
        <w:pStyle w:val="Heading1"/>
      </w:pPr>
      <w:r>
        <w:t>6. Cột chuẩn (mọi bảng nghiệp vụ)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Cột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gợi 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UTC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 (nullable cho job)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UTC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cập nhật cuối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 — soft delete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int/xid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Optimistic concurrency</w:t>
            </w:r>
          </w:p>
        </w:tc>
      </w:tr>
    </w:tbl>
    <w:p/>
    <w:p>
      <w:pPr>
        <w:pStyle w:val="Heading2"/>
      </w:pPr>
      <w:r>
        <w:t>6.1. Cột chứng từ (document header)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Cột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gợi 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 theo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Vòng đời: 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ISO 4217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post sổ/kho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Trace liên module / event</w:t>
            </w:r>
          </w:p>
        </w:tc>
      </w:tr>
    </w:tbl>
    <w:p/>
    <w:p>
      <w:pPr>
        <w:pStyle w:val="Heading1"/>
      </w:pPr>
      <w:r>
        <w:t>7. Multi-tenant &amp; phân quyền (RBAC + data scope 4 tầng)</w:t>
      </w:r>
    </w:p>
    <w:p>
      <w:pPr>
        <w:pStyle w:val="Heading2"/>
      </w:pPr>
      <w:r>
        <w:t>7.1. Hai trục bắt buộc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Trục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Câu hỏi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Cơ chế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Functional RBAC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Được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làm gì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?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 → user_role → role → role_permission → permission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Được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thấy dữ liệu nào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?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JobLevel.default_scope_type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(Own/Team/Department/All) +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user_data_scope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(chi nhánh/kho…)</w:t>
            </w:r>
          </w:p>
        </w:tc>
      </w:tr>
    </w:tbl>
    <w:p/>
    <w:p>
      <w:pPr>
        <w:pStyle w:val="Heading2"/>
      </w:pPr>
      <w:r>
        <w:t>7.2. Data scope 4 tầng (tham chiếu Digi `ScopeType`)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 lọc dòng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Own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Chỉ bản ghi của chính user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Team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Bản thân + user có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manager_user_id = current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Department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Phòng ban chính (+ kiêm nhiệm) và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cây con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sys.department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All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lọc theo người/phòng; vẫn tôn trọng tenant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 xml:space="preserve">Thứ tự hiệu lực: nếu bất kỳ role active có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bypass_data_scope = true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→ coi như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All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; ngược lại lấy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job_level.default_scope_type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Phạm vi chi nhánh/kho/điểm bán bổ sung qua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sys.user_data_scope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2"/>
      </w:pPr>
      <w:r>
        <w:t>7.3. Thực thể tổ chức liên quan authz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sys.org_unit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ty / chi nhánh (pháp lý, kho thuộc CN…)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sys.department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Phòng ban — trục scope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Department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sys.job_level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Cấp bậc — mang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default_scope_type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hrm.job_title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Chức danh nghiệp vụ (khác JobLevel); có thể gợi ý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job_level_id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Cơ chế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Thiết kế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 isolation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Mọi query bắt buộc filter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(middleware + RLS tùy chọn)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Field-level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sys.field_permission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(Hidden/Masked/Read/Write)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Menu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sys.menu_item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lọc theo license module +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permission_code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Row Level Security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nghị bật RLS PostgreSQL ở Phase 2 hoặc tenant nhạy cảm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Cross-tenant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Cấm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trừ Super Platform Admin (ngoài phạm vi app tenant)</w:t>
            </w:r>
          </w:p>
        </w:tc>
      </w:tr>
    </w:tbl>
    <w:p/>
    <w:p>
      <w:pPr>
        <w:pStyle w:val="Heading1"/>
      </w:pPr>
      <w:r>
        <w:t>8. Trạng thái &amp; máy trạng thái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Lưu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status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dạng mã ổn định (English snake/Pascal), không lưu nhãn UI.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Chuyển trạng thái ghi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status_history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(bảng riêng hoặc audit) với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from_status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to_status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changed_by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reason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Sau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Posted</w:t>
      </w:r>
      <w:r>
        <w:rPr>
          <w:rFonts w:ascii="Times New Roman" w:hAnsi="Times New Roman" w:eastAsia="Times New Roman"/>
          <w:b w:val="0"/>
          <w:i w:val="0"/>
          <w:sz w:val="24"/>
        </w:rPr>
        <w:t>/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Locked</w:t>
      </w:r>
      <w:r>
        <w:rPr>
          <w:rFonts w:ascii="Times New Roman" w:hAnsi="Times New Roman" w:eastAsia="Times New Roman"/>
          <w:b w:val="0"/>
          <w:i w:val="0"/>
          <w:sz w:val="24"/>
        </w:rPr>
        <w:t>: không update trực tiếp; dùng chứng từ điều chỉnh.</w:t>
      </w:r>
    </w:p>
    <w:p>
      <w:pPr>
        <w:pStyle w:val="Heading1"/>
      </w:pPr>
      <w:r>
        <w:t>9. Tiền tệ, số lượng, làm tròn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Loại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Quy ước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numeric(18,6)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Làm tròn theo UoM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giá / thành tiền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numeric(18,4)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numeric(18,2)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theo currency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giá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numeric(18,8)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Tại thời điểm chứng từ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 %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numeric(9,4)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1"/>
      </w:pPr>
      <w:r>
        <w:t>10. File, audit, outbox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Kho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Schema.bảng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metadata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sys.file_object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Binary ở object storage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sys.audit_log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before/after JSON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sys.login_log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Outbox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sys.integration_outbox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event INT-03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Inbox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sys.integration_inbox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Idempotency consumer</w:t>
            </w:r>
          </w:p>
        </w:tc>
      </w:tr>
    </w:tbl>
    <w:p/>
    <w:p>
      <w:pPr>
        <w:pStyle w:val="Heading1"/>
      </w:pPr>
      <w:r>
        <w:t>11. Quan hệ xuyên schema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FK vật lý </w:t>
      </w:r>
      <w:r>
        <w:rPr>
          <w:rFonts w:ascii="Times New Roman" w:hAnsi="Times New Roman" w:eastAsia="Times New Roman"/>
          <w:b/>
          <w:i w:val="0"/>
          <w:sz w:val="24"/>
        </w:rPr>
        <w:t>khuyến nghị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khi cùng DB và module luôn đi kèm (ví dụ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→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Với soft dependency: lưu </w:t>
      </w:r>
      <w:r>
        <w:rPr>
          <w:rFonts w:ascii="Times New Roman" w:hAnsi="Times New Roman" w:eastAsia="Times New Roman"/>
          <w:b/>
          <w:i w:val="0"/>
          <w:sz w:val="24"/>
        </w:rPr>
        <w:t>UUID tham chiếu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+ không bắt buộc FK cứng (tránh gãy khi tắt module) — kiểm tra tồn tại ở tầng ứng dụng.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Snapshot mã/tên trên dòng chứng từ để giữ lịch sử khi master đổi.</w:t>
      </w:r>
    </w:p>
    <w:p>
      <w:pPr>
        <w:pStyle w:val="Heading1"/>
      </w:pPr>
      <w:r>
        <w:t>12. Ánh xạ tài liệu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Tài liệu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Schema SYS/WF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DDD-02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HRM…PRT thương mại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DDD-03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PUR…MFG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DDD-04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FIN…BI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DDD-05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Index, bảo mật, migration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DDD-06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Sự kiện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INT-03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DDD-01-v1.0.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SRS-MOD-v1.1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SRS-MOD-v1.1  |  Tổng quan &amp; chuẩn thiết kế cơ sở dữ liệu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