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Thiết kế vật lý, bảo mật dữ liệu &amp; vận hành CSDL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Thiết kế vật lý, bảo mật dữ liệu &amp; vận hành CSDL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Thiết kế vật lý, bảo mật dữ liệu &amp; vận hành CSDL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Database Design Document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Hướng dẫn </w:t>
      </w:r>
      <w:r>
        <w:rPr>
          <w:rFonts w:ascii="Times New Roman" w:hAnsi="Times New Roman" w:eastAsia="Times New Roman"/>
          <w:b/>
          <w:i w:val="0"/>
          <w:sz w:val="24"/>
        </w:rPr>
        <w:t>hiện thực hóa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mô hình logic: kiểu dữ liệu, index, phân vùng, bảo mật, migration, backup/DR.</w:t>
      </w:r>
    </w:p>
    <w:p>
      <w:pPr>
        <w:pStyle w:val="Heading1"/>
      </w:pPr>
      <w:r>
        <w:t>4. Ánh xạ kiểu dữ liệu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Logic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PostgreSQL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SQL Server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uniqueidentifier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ngắn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varchar(n)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nvarchar(n)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Văn bản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nvarchar(max)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numeric(18,2)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decimal(18,2)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numeric(18,6)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decimal(18,6)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boolean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jsonb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nvarchar(max)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JSON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timestamptz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datetimeoffset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date</w:t>
            </w:r>
          </w:p>
        </w:tc>
      </w:tr>
    </w:tbl>
    <w:p/>
    <w:p>
      <w:pPr>
        <w:pStyle w:val="Heading1"/>
      </w:pPr>
      <w:r>
        <w:t>5. Chiến lược index</w:t>
      </w:r>
    </w:p>
    <w:p>
      <w:pPr>
        <w:pStyle w:val="Heading2"/>
      </w:pPr>
      <w:r>
        <w:t>5.1. Bắt buộc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PK clustered/heap theo engine.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uq(tenant_id, code/doc_no)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trên master &amp; chứng từ.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0B3D5C"/>
          <w:sz w:val="22"/>
        </w:rPr>
        <w:t>ix(tenant_id, status, doc_date DESC)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trên chứng từ nóng.</w:t>
      </w:r>
    </w:p>
    <w:p>
      <w:pPr>
        <w:pStyle w:val="Heading2"/>
      </w:pPr>
      <w:r>
        <w:t>5.2. Theo tải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Vùng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Index bổ sung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(tenant_id, warehouse_id, item_id)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trên balance &amp; lines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(shift_id)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(tenant_id, created_at)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BRIN/partition theo tháng +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(entity_type, entity_id)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(status, created_at)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partial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WHERE status='New'</w:t>
            </w:r>
          </w:p>
        </w:tc>
      </w:tr>
    </w:tbl>
    <w:p/>
    <w:p>
      <w:pPr>
        <w:pStyle w:val="Heading2"/>
      </w:pPr>
      <w:r>
        <w:t>5.3. Cấm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Index hóa mọi cột "cho chắc".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Unique toàn cục quên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tenant_id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6. Phân vùng &amp; lưu trữ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Chiến lược Phase 1–2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audit_log, login_log, notification_log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Partition theo tháng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integration_outbox (published cũ)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Archive sau N ngày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pos_order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Partition theo tháng nếu &gt; triệu dòng/tháng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stock_document_line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năm nếu cần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File binary: </w:t>
      </w:r>
      <w:r>
        <w:rPr>
          <w:rFonts w:ascii="Times New Roman" w:hAnsi="Times New Roman" w:eastAsia="Times New Roman"/>
          <w:b/>
          <w:i w:val="0"/>
          <w:sz w:val="24"/>
        </w:rPr>
        <w:t>object storage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(S3/MinIO/Azure Blob); DB chỉ metadata.</w:t>
      </w:r>
    </w:p>
    <w:p>
      <w:pPr>
        <w:pStyle w:val="Heading1"/>
      </w:pPr>
      <w:r>
        <w:t>7. Bảo mật dữ liệu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Transport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TLS tới DB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Mật khẩu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Hash (Argon2/bcrypt); không lưu plaintext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PII / lương / CCCD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hóa cột hoặc vault; mask ở API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DB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dùng role least privilege; migration dùng role riêng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RLS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Khuyến nghị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policy (PostgreSQL) với tenant lớn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Backup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hóa backup; kiểm soát truy cập</w:t>
            </w:r>
          </w:p>
        </w:tc>
      </w:tr>
    </w:tbl>
    <w:p/>
    <w:p>
      <w:pPr>
        <w:pStyle w:val="Heading1"/>
      </w:pPr>
      <w:r>
        <w:t>8. Migration &amp; phiên bản schema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Công cụ: Flyway / Liquibase / EF Migrations / Alembic — </w:t>
      </w:r>
      <w:r>
        <w:rPr>
          <w:rFonts w:ascii="Times New Roman" w:hAnsi="Times New Roman" w:eastAsia="Times New Roman"/>
          <w:b/>
          <w:i w:val="0"/>
          <w:sz w:val="24"/>
        </w:rPr>
        <w:t>chốt 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khi vào Source.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Mỗi module có thư mục migration riêng theo schema.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Migration </w:t>
      </w:r>
      <w:r>
        <w:rPr>
          <w:rFonts w:ascii="Times New Roman" w:hAnsi="Times New Roman" w:eastAsia="Times New Roman"/>
          <w:b/>
          <w:i w:val="0"/>
          <w:sz w:val="24"/>
        </w:rPr>
        <w:t>expand/contract</w:t>
      </w:r>
      <w:r>
        <w:rPr>
          <w:rFonts w:ascii="Times New Roman" w:hAnsi="Times New Roman" w:eastAsia="Times New Roman"/>
          <w:b w:val="0"/>
          <w:i w:val="0"/>
          <w:sz w:val="24"/>
        </w:rPr>
        <w:t>: thêm cột nullable → backfill → ràng buộc.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sửa migration đã chạy trên môi trường chung; tạo migration mới.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Seed permission/sequence theo module khi enable license.</w:t>
      </w:r>
    </w:p>
    <w:p>
      <w:pPr>
        <w:pStyle w:val="Heading1"/>
      </w:pPr>
      <w:r>
        <w:t>9. Tính toàn vẹn giao dịch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Tình huống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 cô lập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tồn / reserve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 Committed + row lock rõ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journal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Transaction; check Nợ=Có trước commit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Outbox write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Cùng TX với aggregate nguồn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nặng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 replica / snapshot</w:t>
            </w:r>
          </w:p>
        </w:tc>
      </w:tr>
    </w:tbl>
    <w:p/>
    <w:p>
      <w:pPr>
        <w:pStyle w:val="Heading1"/>
      </w:pPr>
      <w:r>
        <w:t>10. Backup, HA, DR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Gợi ý tối thiểu production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RPO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≤ 15 phút (WAL/PITR)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RTO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SLA khách (ví dụ ≤ 4 giờ)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+ standby đồng bộ/gần đồng bộ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thử restore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kỳ hàng quý</w:t>
            </w:r>
          </w:p>
        </w:tc>
      </w:tr>
    </w:tbl>
    <w:p/>
    <w:p>
      <w:pPr>
        <w:pStyle w:val="Heading1"/>
      </w:pPr>
      <w:r>
        <w:t>11. Quan sát DB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Chậm query: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pg_stat_statements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/ Query Store.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Bloat/vacuum; cảnh báo dung lượng.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Monitor lag replication &amp; outbox depth (khớp INT-05).</w:t>
      </w:r>
    </w:p>
    <w:p>
      <w:pPr>
        <w:pStyle w:val="Heading1"/>
      </w:pPr>
      <w:r>
        <w:t>12. Checklist nghiệm thu thiết kế CSDL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Đủ schema 16 module (có thể empty schema nếu chưa mua).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Mọi bảng nghiệp vụ có cột chuẩn DDD-01.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Unique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(tenant_id, code/doc_no)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đúng.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Soft-delete &amp; audit tối thiểu.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Outbox/Inbox có unique idempotency.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FK cứng bắt buộc tới module soft-dependency.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Script migration chạy clean trên DB trống.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Tài liệu DDD khớp SRS entity &amp; INT event (mẫu kiểm tra).</w:t>
      </w:r>
    </w:p>
    <w:p>
      <w:pPr>
        <w:pStyle w:val="Heading1"/>
      </w:pPr>
      <w:r>
        <w:t>13.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quan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00_CHUAN_TAI_LIEU_DDD.md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Logic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DDD-02 … DDD-05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../02. Tích hợp liên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../01. Modules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DDD-06-v1.0.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Thiết kế vật lý, bảo mật dữ liệu &amp; vận hành CSDL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