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0"/>
        </w:rPr>
        <w:t>Analyse d'impact relative à la protection des données</w:t>
      </w:r>
    </w:p>
    <w:p>
      <w:r>
        <w:rPr>
          <w:color w:val="555555"/>
          <w:sz w:val="24"/>
        </w:rPr>
        <w:t>BuildFlow — Extrait DPIA et conformité RGPD</w:t>
      </w:r>
    </w:p>
    <w:p>
      <w:r>
        <w:rPr>
          <w:i/>
          <w:color w:val="555555"/>
          <w:sz w:val="18"/>
        </w:rPr>
        <w:t>Livrable 3 · Palier 3 — Gouvernance et sécurité · Version 1.0 — 1er août 2026</w:t>
      </w:r>
    </w:p>
    <w:p/>
    <w:p>
      <w:pPr>
        <w:spacing w:before="280"/>
      </w:pPr>
      <w:r>
        <w:rPr>
          <w:b/>
          <w:color w:val="1F4E79"/>
          <w:sz w:val="28"/>
        </w:rPr>
        <w:t>1. Contexte et nécessité de l'analyse</w:t>
      </w:r>
    </w:p>
    <w:p>
      <w:r>
        <w:rPr>
          <w:i w:val="0"/>
        </w:rPr>
        <w:t>BuildFlow est une plateforme de gestion des non-conformités (NCR) et des incidents de sécurité sur chantier. Elle traite des données à caractère personnel dans un cadre professionnel : identité des déclarants, géolocalisation précise des constats, photographies de situations de travail.</w:t>
      </w:r>
    </w:p>
    <w:p>
      <w:r>
        <w:rPr>
          <w:i w:val="0"/>
        </w:rPr>
        <w:t>Une analyse d'impact est requise au titre de l'article 35 du RGPD dès lors que le traitement présente un risque élevé. Deux critères de la liste de la CNIL sont ici réunis : la collecte de données de localisation à grande échelle, et le croisement de données permettant d'évaluer indirectement le travail de personnes identifiées.</w:t>
      </w:r>
    </w:p>
    <w:p>
      <w:pPr>
        <w:spacing w:before="280"/>
      </w:pPr>
      <w:r>
        <w:rPr>
          <w:b/>
          <w:color w:val="1F4E79"/>
          <w:sz w:val="28"/>
        </w:rPr>
        <w:t>2. Description du traitement</w:t>
      </w:r>
    </w:p>
    <w:p>
      <w:pPr>
        <w:spacing w:before="200"/>
      </w:pPr>
      <w:r>
        <w:rPr>
          <w:b/>
          <w:sz w:val="23"/>
        </w:rPr>
        <w:t>2.1 Finalités</w:t>
      </w:r>
    </w:p>
    <w:p>
      <w:pPr>
        <w:pStyle w:val="ListBullet"/>
      </w:pPr>
      <w:r>
        <w:t>Tracer les non-conformités constatées sur les chantiers et leur traitement jusqu'à clôture.</w:t>
      </w:r>
    </w:p>
    <w:p>
      <w:pPr>
        <w:pStyle w:val="ListBullet"/>
      </w:pPr>
      <w:r>
        <w:t>Constituer une preuve opposable qu'un défaut a été signalé, traité et clos — finalité probatoire.</w:t>
      </w:r>
    </w:p>
    <w:p>
      <w:pPr>
        <w:pStyle w:val="ListBullet"/>
      </w:pPr>
      <w:r>
        <w:t>Piloter la qualité et la sécurité par des indicateurs agrégés.</w:t>
      </w:r>
    </w:p>
    <w:p>
      <w:pPr>
        <w:spacing w:before="200"/>
      </w:pPr>
      <w:r>
        <w:rPr>
          <w:b/>
          <w:sz w:val="23"/>
        </w:rPr>
        <w:t>2.2 Catégories de données traitées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268"/>
          </w:tcPr>
          <w:p>
            <w:r/>
            <w:r>
              <w:rPr>
                <w:b/>
                <w:sz w:val="19"/>
              </w:rPr>
              <w:t>Donnée</w:t>
            </w:r>
          </w:p>
        </w:tc>
        <w:tc>
          <w:tcPr>
            <w:tcW w:type="dxa" w:w="1984"/>
          </w:tcPr>
          <w:p>
            <w:r/>
            <w:r>
              <w:rPr>
                <w:b/>
                <w:sz w:val="19"/>
              </w:rPr>
              <w:t>Support</w:t>
            </w:r>
          </w:p>
        </w:tc>
        <w:tc>
          <w:tcPr>
            <w:tcW w:type="dxa" w:w="3118"/>
          </w:tcPr>
          <w:p>
            <w:r/>
            <w:r>
              <w:rPr>
                <w:b/>
                <w:sz w:val="19"/>
              </w:rPr>
              <w:t>Caractère personnel</w:t>
            </w:r>
          </w:p>
        </w:tc>
        <w:tc>
          <w:tcPr>
            <w:tcW w:type="dxa" w:w="2835"/>
          </w:tcPr>
          <w:p>
            <w:r/>
            <w:r>
              <w:rPr>
                <w:b/>
                <w:sz w:val="19"/>
              </w:rPr>
              <w:t>Base légale</w:t>
            </w:r>
          </w:p>
        </w:tc>
      </w:tr>
      <w:tr>
        <w:tc>
          <w:tcPr>
            <w:tcW w:type="dxa" w:w="2268"/>
          </w:tcPr>
          <w:p>
            <w:r/>
            <w:r>
              <w:rPr>
                <w:sz w:val="19"/>
              </w:rPr>
              <w:t>Nom, adresse électronique, rôle</w:t>
            </w:r>
          </w:p>
        </w:tc>
        <w:tc>
          <w:tcPr>
            <w:tcW w:type="dxa" w:w="1984"/>
          </w:tcPr>
          <w:p>
            <w:r/>
            <w:r>
              <w:rPr>
                <w:sz w:val="19"/>
              </w:rPr>
              <w:t>Table users</w:t>
            </w:r>
          </w:p>
        </w:tc>
        <w:tc>
          <w:tcPr>
            <w:tcW w:type="dxa" w:w="3118"/>
          </w:tcPr>
          <w:p>
            <w:r/>
            <w:r>
              <w:rPr>
                <w:sz w:val="19"/>
              </w:rPr>
              <w:t>Direct</w:t>
            </w:r>
          </w:p>
        </w:tc>
        <w:tc>
          <w:tcPr>
            <w:tcW w:type="dxa" w:w="2835"/>
          </w:tcPr>
          <w:p>
            <w:r/>
            <w:r>
              <w:rPr>
                <w:sz w:val="19"/>
              </w:rPr>
              <w:t>Exécution du contrat de travail</w:t>
            </w:r>
          </w:p>
        </w:tc>
      </w:tr>
      <w:tr>
        <w:tc>
          <w:tcPr>
            <w:tcW w:type="dxa" w:w="2268"/>
          </w:tcPr>
          <w:p>
            <w:r/>
            <w:r>
              <w:rPr>
                <w:sz w:val="19"/>
              </w:rPr>
              <w:t>Identité du déclarant (creator_id)</w:t>
            </w:r>
          </w:p>
        </w:tc>
        <w:tc>
          <w:tcPr>
            <w:tcW w:type="dxa" w:w="1984"/>
          </w:tcPr>
          <w:p>
            <w:r/>
            <w:r>
              <w:rPr>
                <w:sz w:val="19"/>
              </w:rPr>
              <w:t>Table ncr</w:t>
            </w:r>
          </w:p>
        </w:tc>
        <w:tc>
          <w:tcPr>
            <w:tcW w:type="dxa" w:w="3118"/>
          </w:tcPr>
          <w:p>
            <w:r/>
            <w:r>
              <w:rPr>
                <w:sz w:val="19"/>
              </w:rPr>
              <w:t>Direct (clé étrangère)</w:t>
            </w:r>
          </w:p>
        </w:tc>
        <w:tc>
          <w:tcPr>
            <w:tcW w:type="dxa" w:w="2835"/>
          </w:tcPr>
          <w:p>
            <w:r/>
            <w:r>
              <w:rPr>
                <w:sz w:val="19"/>
              </w:rPr>
              <w:t>Intérêt légitime — traçabilité</w:t>
            </w:r>
          </w:p>
        </w:tc>
      </w:tr>
      <w:tr>
        <w:tc>
          <w:tcPr>
            <w:tcW w:type="dxa" w:w="2268"/>
          </w:tcPr>
          <w:p>
            <w:r/>
            <w:r>
              <w:rPr>
                <w:sz w:val="19"/>
              </w:rPr>
              <w:t>Coordonnées GPS du constat</w:t>
            </w:r>
          </w:p>
        </w:tc>
        <w:tc>
          <w:tcPr>
            <w:tcW w:type="dxa" w:w="1984"/>
          </w:tcPr>
          <w:p>
            <w:r/>
            <w:r>
              <w:rPr>
                <w:sz w:val="19"/>
              </w:rPr>
              <w:t>Tables ncr, ncr_photos</w:t>
            </w:r>
          </w:p>
        </w:tc>
        <w:tc>
          <w:tcPr>
            <w:tcW w:type="dxa" w:w="3118"/>
          </w:tcPr>
          <w:p>
            <w:r/>
            <w:r>
              <w:rPr>
                <w:sz w:val="19"/>
              </w:rPr>
              <w:t>Indirect — révèle la position du salarié à un instant donné</w:t>
            </w:r>
          </w:p>
        </w:tc>
        <w:tc>
          <w:tcPr>
            <w:tcW w:type="dxa" w:w="2835"/>
          </w:tcPr>
          <w:p>
            <w:r/>
            <w:r>
              <w:rPr>
                <w:sz w:val="19"/>
              </w:rPr>
              <w:t>Intérêt légitime, sous conditions (§4)</w:t>
            </w:r>
          </w:p>
        </w:tc>
      </w:tr>
      <w:tr>
        <w:tc>
          <w:tcPr>
            <w:tcW w:type="dxa" w:w="2268"/>
          </w:tcPr>
          <w:p>
            <w:r/>
            <w:r>
              <w:rPr>
                <w:sz w:val="19"/>
              </w:rPr>
              <w:t>Photographie du constat</w:t>
            </w:r>
          </w:p>
        </w:tc>
        <w:tc>
          <w:tcPr>
            <w:tcW w:type="dxa" w:w="1984"/>
          </w:tcPr>
          <w:p>
            <w:r/>
            <w:r>
              <w:rPr>
                <w:sz w:val="19"/>
              </w:rPr>
              <w:t>Bucket MinIO WORM</w:t>
            </w:r>
          </w:p>
        </w:tc>
        <w:tc>
          <w:tcPr>
            <w:tcW w:type="dxa" w:w="3118"/>
          </w:tcPr>
          <w:p>
            <w:r/>
            <w:r>
              <w:rPr>
                <w:sz w:val="19"/>
              </w:rPr>
              <w:t>Potentiel — un salarié peut y figurer</w:t>
            </w:r>
          </w:p>
        </w:tc>
        <w:tc>
          <w:tcPr>
            <w:tcW w:type="dxa" w:w="2835"/>
          </w:tcPr>
          <w:p>
            <w:r/>
            <w:r>
              <w:rPr>
                <w:sz w:val="19"/>
              </w:rPr>
              <w:t>Intérêt légitime, sous conditions (§4)</w:t>
            </w:r>
          </w:p>
        </w:tc>
      </w:tr>
      <w:tr>
        <w:tc>
          <w:tcPr>
            <w:tcW w:type="dxa" w:w="2268"/>
          </w:tcPr>
          <w:p>
            <w:r/>
            <w:r>
              <w:rPr>
                <w:sz w:val="19"/>
              </w:rPr>
              <w:t>Horodatage des actions</w:t>
            </w:r>
          </w:p>
        </w:tc>
        <w:tc>
          <w:tcPr>
            <w:tcW w:type="dxa" w:w="1984"/>
          </w:tcPr>
          <w:p>
            <w:r/>
            <w:r>
              <w:rPr>
                <w:sz w:val="19"/>
              </w:rPr>
              <w:t>Table audit_logs</w:t>
            </w:r>
          </w:p>
        </w:tc>
        <w:tc>
          <w:tcPr>
            <w:tcW w:type="dxa" w:w="3118"/>
          </w:tcPr>
          <w:p>
            <w:r/>
            <w:r>
              <w:rPr>
                <w:sz w:val="19"/>
              </w:rPr>
              <w:t>Indirect — reconstitue une activité</w:t>
            </w:r>
          </w:p>
        </w:tc>
        <w:tc>
          <w:tcPr>
            <w:tcW w:type="dxa" w:w="2835"/>
          </w:tcPr>
          <w:p>
            <w:r/>
            <w:r>
              <w:rPr>
                <w:sz w:val="19"/>
              </w:rPr>
              <w:t>Obligation de traçabilité</w:t>
            </w:r>
          </w:p>
        </w:tc>
      </w:tr>
    </w:tbl>
    <w:p/>
    <w:p>
      <w:pPr>
        <w:spacing w:before="200"/>
      </w:pPr>
      <w:r>
        <w:rPr>
          <w:b/>
          <w:sz w:val="23"/>
        </w:rPr>
        <w:t>2.3 Destinataires et durées</w:t>
      </w:r>
    </w:p>
    <w:p>
      <w:r>
        <w:rPr>
          <w:i w:val="0"/>
        </w:rPr>
        <w:t>Les accès sont cloisonnés par rôle : CHEF_CHANTIER, RESPONSABLE_QSE, DIRECTION_TRAVAUX, ADMIN. Le contrôle est appliqué par un guard fail-closed — toute route non explicitement publique exige une authentification, ce qui écarte l'exposition par omission.</w:t>
      </w:r>
    </w:p>
    <w:p>
      <w:r>
        <w:rPr>
          <w:i w:val="0"/>
        </w:rPr>
        <w:t>Aucune durée de conservation n'est aujourd'hui définie dans le produit. C'est le premier écart relevé (§5).</w:t>
      </w:r>
    </w:p>
    <w:p>
      <w:pPr>
        <w:spacing w:before="280"/>
      </w:pPr>
      <w:r>
        <w:rPr>
          <w:b/>
          <w:color w:val="1F4E79"/>
          <w:sz w:val="28"/>
        </w:rPr>
        <w:t>3. Mesures de sécurité en place</w:t>
      </w:r>
    </w:p>
    <w:tbl>
      <w:tblPr>
        <w:tblStyle w:val="LightGrid-Accent1"/>
        <w:tblW w:type="auto" w:w="0"/>
        <w:jc w:val="center"/>
        <w:tblLook w:firstColumn="1" w:firstRow="1" w:lastColumn="0" w:lastRow="0" w:noHBand="0" w:noVBand="1" w:val="04A0"/>
      </w:tblPr>
      <w:tblGrid>
        <w:gridCol w:w="3249"/>
        <w:gridCol w:w="3249"/>
        <w:gridCol w:w="3249"/>
      </w:tblGrid>
      <w:tr>
        <w:tc>
          <w:tcPr>
            <w:tcW w:type="dxa" w:w="3118"/>
          </w:tcPr>
          <w:p>
            <w:r/>
            <w:r>
              <w:rPr>
                <w:b/>
                <w:sz w:val="19"/>
              </w:rPr>
              <w:t>Mesure</w:t>
            </w:r>
          </w:p>
        </w:tc>
        <w:tc>
          <w:tcPr>
            <w:tcW w:type="dxa" w:w="1417"/>
          </w:tcPr>
          <w:p>
            <w:r/>
            <w:r>
              <w:rPr>
                <w:b/>
                <w:sz w:val="19"/>
              </w:rPr>
              <w:t>État</w:t>
            </w:r>
          </w:p>
        </w:tc>
        <w:tc>
          <w:tcPr>
            <w:tcW w:type="dxa" w:w="5669"/>
          </w:tcPr>
          <w:p>
            <w:r/>
            <w:r>
              <w:rPr>
                <w:b/>
                <w:sz w:val="19"/>
              </w:rPr>
              <w:t>Élément vérifiable</w:t>
            </w:r>
          </w:p>
        </w:tc>
      </w:tr>
      <w:tr>
        <w:tc>
          <w:tcPr>
            <w:tcW w:type="dxa" w:w="3118"/>
          </w:tcPr>
          <w:p>
            <w:r/>
            <w:r>
              <w:rPr>
                <w:sz w:val="19"/>
              </w:rPr>
              <w:t>Authentification par mot de passe haché</w:t>
            </w:r>
          </w:p>
        </w:tc>
        <w:tc>
          <w:tcPr>
            <w:tcW w:type="dxa" w:w="1417"/>
          </w:tcPr>
          <w:p>
            <w:r/>
            <w:r>
              <w:rPr>
                <w:sz w:val="19"/>
              </w:rPr>
              <w:t>En place</w:t>
            </w:r>
          </w:p>
        </w:tc>
        <w:tc>
          <w:tcPr>
            <w:tcW w:type="dxa" w:w="5669"/>
          </w:tcPr>
          <w:p>
            <w:r/>
            <w:r>
              <w:rPr>
                <w:sz w:val="19"/>
              </w:rPr>
              <w:t>argon2id, migration 003 ; comparaison en clair supprimée</w:t>
            </w:r>
          </w:p>
        </w:tc>
      </w:tr>
      <w:tr>
        <w:tc>
          <w:tcPr>
            <w:tcW w:type="dxa" w:w="3118"/>
          </w:tcPr>
          <w:p>
            <w:r/>
            <w:r>
              <w:rPr>
                <w:sz w:val="19"/>
              </w:rPr>
              <w:t>Double facteur</w:t>
            </w:r>
          </w:p>
        </w:tc>
        <w:tc>
          <w:tcPr>
            <w:tcW w:type="dxa" w:w="1417"/>
          </w:tcPr>
          <w:p>
            <w:r/>
            <w:r>
              <w:rPr>
                <w:sz w:val="19"/>
              </w:rPr>
              <w:t>Partiel</w:t>
            </w:r>
          </w:p>
        </w:tc>
        <w:tc>
          <w:tcPr>
            <w:tcW w:type="dxa" w:w="5669"/>
          </w:tcPr>
          <w:p>
            <w:r/>
            <w:r>
              <w:rPr>
                <w:sz w:val="19"/>
              </w:rPr>
              <w:t>Parcours complet, code encore constant (§5)</w:t>
            </w:r>
          </w:p>
        </w:tc>
      </w:tr>
      <w:tr>
        <w:tc>
          <w:tcPr>
            <w:tcW w:type="dxa" w:w="3118"/>
          </w:tcPr>
          <w:p>
            <w:r/>
            <w:r>
              <w:rPr>
                <w:sz w:val="19"/>
              </w:rPr>
              <w:t>Limitation du bruteforce</w:t>
            </w:r>
          </w:p>
        </w:tc>
        <w:tc>
          <w:tcPr>
            <w:tcW w:type="dxa" w:w="1417"/>
          </w:tcPr>
          <w:p>
            <w:r/>
            <w:r>
              <w:rPr>
                <w:sz w:val="19"/>
              </w:rPr>
              <w:t>En place</w:t>
            </w:r>
          </w:p>
        </w:tc>
        <w:tc>
          <w:tcPr>
            <w:tcW w:type="dxa" w:w="5669"/>
          </w:tcPr>
          <w:p>
            <w:r/>
            <w:r>
              <w:rPr>
                <w:sz w:val="19"/>
              </w:rPr>
              <w:t>10 tentatives/min par IP sur /auth/session</w:t>
            </w:r>
          </w:p>
        </w:tc>
      </w:tr>
      <w:tr>
        <w:tc>
          <w:tcPr>
            <w:tcW w:type="dxa" w:w="3118"/>
          </w:tcPr>
          <w:p>
            <w:r/>
            <w:r>
              <w:rPr>
                <w:sz w:val="19"/>
              </w:rPr>
              <w:t>Contrôle d'accès par rôle</w:t>
            </w:r>
          </w:p>
        </w:tc>
        <w:tc>
          <w:tcPr>
            <w:tcW w:type="dxa" w:w="1417"/>
          </w:tcPr>
          <w:p>
            <w:r/>
            <w:r>
              <w:rPr>
                <w:sz w:val="19"/>
              </w:rPr>
              <w:t>En place</w:t>
            </w:r>
          </w:p>
        </w:tc>
        <w:tc>
          <w:tcPr>
            <w:tcW w:type="dxa" w:w="5669"/>
          </w:tcPr>
          <w:p>
            <w:r/>
            <w:r>
              <w:rPr>
                <w:sz w:val="19"/>
              </w:rPr>
              <w:t>RolesGuard fail-closed, liste des routes publiques figée par test</w:t>
            </w:r>
          </w:p>
        </w:tc>
      </w:tr>
      <w:tr>
        <w:tc>
          <w:tcPr>
            <w:tcW w:type="dxa" w:w="3118"/>
          </w:tcPr>
          <w:p>
            <w:r/>
            <w:r>
              <w:rPr>
                <w:sz w:val="19"/>
              </w:rPr>
              <w:t>Journal d'audit inaltérable</w:t>
            </w:r>
          </w:p>
        </w:tc>
        <w:tc>
          <w:tcPr>
            <w:tcW w:type="dxa" w:w="1417"/>
          </w:tcPr>
          <w:p>
            <w:r/>
            <w:r>
              <w:rPr>
                <w:sz w:val="19"/>
              </w:rPr>
              <w:t>Partiel</w:t>
            </w:r>
          </w:p>
        </w:tc>
        <w:tc>
          <w:tcPr>
            <w:tcW w:type="dxa" w:w="5669"/>
          </w:tcPr>
          <w:p>
            <w:r/>
            <w:r>
              <w:rPr>
                <w:sz w:val="19"/>
              </w:rPr>
              <w:t>Chaîne SHA-256 sans clé (§5)</w:t>
            </w:r>
          </w:p>
        </w:tc>
      </w:tr>
      <w:tr>
        <w:tc>
          <w:tcPr>
            <w:tcW w:type="dxa" w:w="3118"/>
          </w:tcPr>
          <w:p>
            <w:r/>
            <w:r>
              <w:rPr>
                <w:sz w:val="19"/>
              </w:rPr>
              <w:t>Stockage des preuves en WORM</w:t>
            </w:r>
          </w:p>
        </w:tc>
        <w:tc>
          <w:tcPr>
            <w:tcW w:type="dxa" w:w="1417"/>
          </w:tcPr>
          <w:p>
            <w:r/>
            <w:r>
              <w:rPr>
                <w:sz w:val="19"/>
              </w:rPr>
              <w:t>En place</w:t>
            </w:r>
          </w:p>
        </w:tc>
        <w:tc>
          <w:tcPr>
            <w:tcW w:type="dxa" w:w="5669"/>
          </w:tcPr>
          <w:p>
            <w:r/>
            <w:r>
              <w:rPr>
                <w:sz w:val="19"/>
              </w:rPr>
              <w:t>Object Lock COMPLIANCE, rétention 365 jours, vérifié</w:t>
            </w:r>
          </w:p>
        </w:tc>
      </w:tr>
      <w:tr>
        <w:tc>
          <w:tcPr>
            <w:tcW w:type="dxa" w:w="3118"/>
          </w:tcPr>
          <w:p>
            <w:r/>
            <w:r>
              <w:rPr>
                <w:sz w:val="19"/>
              </w:rPr>
              <w:t>Chiffrement en transit</w:t>
            </w:r>
          </w:p>
        </w:tc>
        <w:tc>
          <w:tcPr>
            <w:tcW w:type="dxa" w:w="1417"/>
          </w:tcPr>
          <w:p>
            <w:r/>
            <w:r>
              <w:rPr>
                <w:sz w:val="19"/>
              </w:rPr>
              <w:t>Partiel</w:t>
            </w:r>
          </w:p>
        </w:tc>
        <w:tc>
          <w:tcPr>
            <w:tcW w:type="dxa" w:w="5669"/>
          </w:tcPr>
          <w:p>
            <w:r/>
            <w:r>
              <w:rPr>
                <w:sz w:val="19"/>
              </w:rPr>
              <w:t>Reverse proxy TLS présent ; HTTP en clair toléré en développement uniquement</w:t>
            </w:r>
          </w:p>
        </w:tc>
      </w:tr>
      <w:tr>
        <w:tc>
          <w:tcPr>
            <w:tcW w:type="dxa" w:w="3118"/>
          </w:tcPr>
          <w:p>
            <w:r/>
            <w:r>
              <w:rPr>
                <w:sz w:val="19"/>
              </w:rPr>
              <w:t>Chiffrement de la base locale mobile</w:t>
            </w:r>
          </w:p>
        </w:tc>
        <w:tc>
          <w:tcPr>
            <w:tcW w:type="dxa" w:w="1417"/>
          </w:tcPr>
          <w:p>
            <w:r/>
            <w:r>
              <w:rPr>
                <w:sz w:val="19"/>
              </w:rPr>
              <w:t>Absent</w:t>
            </w:r>
          </w:p>
        </w:tc>
        <w:tc>
          <w:tcPr>
            <w:tcW w:type="dxa" w:w="5669"/>
          </w:tcPr>
          <w:p>
            <w:r/>
            <w:r>
              <w:rPr>
                <w:sz w:val="19"/>
              </w:rPr>
              <w:t>SQLite non chiffré (§5)</w:t>
            </w:r>
          </w:p>
        </w:tc>
      </w:tr>
    </w:tbl>
    <w:p/>
    <w:p>
      <w:pPr>
        <w:spacing w:before="280"/>
      </w:pPr>
      <w:r>
        <w:rPr>
          <w:b/>
          <w:color w:val="1F4E79"/>
          <w:sz w:val="28"/>
        </w:rPr>
        <w:t>4. Analyse des risques</w:t>
      </w:r>
    </w:p>
    <w:p>
      <w:pPr>
        <w:spacing w:before="200"/>
      </w:pPr>
      <w:r>
        <w:rPr>
          <w:b/>
          <w:sz w:val="23"/>
        </w:rPr>
        <w:t>4.1 Géolocalisation — risque de surveillance détournée</w:t>
      </w:r>
    </w:p>
    <w:p>
      <w:r>
        <w:rPr>
          <w:i w:val="0"/>
        </w:rPr>
        <w:t>La coordonnée GPS attachée à chaque constat identifie la position d'un salarié à un instant précis. Agrégées, ces données permettraient de reconstituer ses déplacements sur une journée — un usage étranger à la finalité déclarée.</w:t>
      </w:r>
    </w:p>
    <w:p>
      <w:r>
        <w:rPr>
          <w:i w:val="0"/>
        </w:rPr>
        <w:t>Mesure de limitation retenue : la précision est conservée telle que fournie par le capteur, car elle sert à localiser le défaut dans l'ouvrage, mais aucun écran n'affiche l'historique des positions d'un utilisateur. Il est recommandé d'inscrire cet interdit dans la charte informatique et de ne pas exposer d'endpoint permettant un tel croisement.</w:t>
      </w:r>
    </w:p>
    <w:p>
      <w:pPr>
        <w:spacing w:before="200"/>
      </w:pPr>
      <w:r>
        <w:rPr>
          <w:b/>
          <w:sz w:val="23"/>
        </w:rPr>
        <w:t>4.2 Photographies — risque de captation involontaire</w:t>
      </w:r>
    </w:p>
    <w:p>
      <w:r>
        <w:rPr>
          <w:i w:val="0"/>
        </w:rPr>
        <w:t>Une photographie de chantier peut faire apparaître un salarié. Le produit ne met en œuvre ni floutage ni détection de visages.</w:t>
      </w:r>
    </w:p>
    <w:p>
      <w:r>
        <w:rPr>
          <w:i w:val="0"/>
        </w:rPr>
        <w:t>Mesure de limitation retenue : information des salariés que les photographies sont destinées au constat technique, et non à l'évaluation individuelle. À intégrer au règlement intérieur ou à la note de service.</w:t>
      </w:r>
    </w:p>
    <w:p>
      <w:pPr>
        <w:spacing w:before="200"/>
      </w:pPr>
      <w:r>
        <w:rPr>
          <w:b/>
          <w:sz w:val="23"/>
        </w:rPr>
        <w:t>4.3 Irréversibilité du stockage WORM — tension avec le droit à l'effacement</w:t>
      </w:r>
    </w:p>
    <w:p>
      <w:r>
        <w:rPr>
          <w:i w:val="0"/>
        </w:rPr>
        <w:t>Les preuves sont scellées en mode COMPLIANCE pour 365 jours : elles ne peuvent être ni modifiées ni supprimées, y compris par un administrateur. C'est la propriété recherchée pour la valeur probatoire.</w:t>
      </w:r>
    </w:p>
    <w:p>
      <w:r>
        <w:rPr>
          <w:i w:val="0"/>
        </w:rPr>
        <w:t>Cette irréversibilité entre en tension avec l'article 17 du RGPD. L'article 17.3.e prévoit toutefois une exception pour la constatation et la défense de droits en justice, ce qui correspond précisément à la finalité de ces objets.</w:t>
      </w:r>
    </w:p>
    <w:p>
      <w:r>
        <w:rPr>
          <w:i/>
        </w:rPr>
        <w:t>Position retenue : la durée de rétention est alignée sur la durée de conservation utile à la preuve. Toute demande d'effacement portant sur une preuve scellée doit faire l'objet d'une réponse motivée invoquant cette exception, et non d'un refus implicite.</w:t>
      </w:r>
    </w:p>
    <w:p>
      <w:pPr>
        <w:spacing w:before="280"/>
      </w:pPr>
      <w:r>
        <w:rPr>
          <w:b/>
          <w:color w:val="1F4E79"/>
          <w:sz w:val="28"/>
        </w:rPr>
        <w:t>5. Écarts identifiés et plan de remédiation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551"/>
          </w:tcPr>
          <w:p>
            <w:r/>
            <w:r>
              <w:rPr>
                <w:b/>
                <w:sz w:val="19"/>
              </w:rPr>
              <w:t>Écart</w:t>
            </w:r>
          </w:p>
        </w:tc>
        <w:tc>
          <w:tcPr>
            <w:tcW w:type="dxa" w:w="2835"/>
          </w:tcPr>
          <w:p>
            <w:r/>
            <w:r>
              <w:rPr>
                <w:b/>
                <w:sz w:val="19"/>
              </w:rPr>
              <w:t>Risque</w:t>
            </w:r>
          </w:p>
        </w:tc>
        <w:tc>
          <w:tcPr>
            <w:tcW w:type="dxa" w:w="3118"/>
          </w:tcPr>
          <w:p>
            <w:r/>
            <w:r>
              <w:rPr>
                <w:b/>
                <w:sz w:val="19"/>
              </w:rPr>
              <w:t>Remédiation</w:t>
            </w:r>
          </w:p>
        </w:tc>
        <w:tc>
          <w:tcPr>
            <w:tcW w:type="dxa" w:w="1417"/>
          </w:tcPr>
          <w:p>
            <w:r/>
            <w:r>
              <w:rPr>
                <w:b/>
                <w:sz w:val="19"/>
              </w:rPr>
              <w:t>Priorité</w:t>
            </w:r>
          </w:p>
        </w:tc>
      </w:tr>
      <w:tr>
        <w:tc>
          <w:tcPr>
            <w:tcW w:type="dxa" w:w="2551"/>
          </w:tcPr>
          <w:p>
            <w:r/>
            <w:r>
              <w:rPr>
                <w:sz w:val="19"/>
              </w:rPr>
              <w:t>Base mobile SQLite non chiffrée</w:t>
            </w:r>
          </w:p>
        </w:tc>
        <w:tc>
          <w:tcPr>
            <w:tcW w:type="dxa" w:w="2835"/>
          </w:tcPr>
          <w:p>
            <w:r/>
            <w:r>
              <w:rPr>
                <w:sz w:val="19"/>
              </w:rPr>
              <w:t>Un téléphone perdu ou volé expose les constats et les chemins de photos</w:t>
            </w:r>
          </w:p>
        </w:tc>
        <w:tc>
          <w:tcPr>
            <w:tcW w:type="dxa" w:w="3118"/>
          </w:tcPr>
          <w:p>
            <w:r/>
            <w:r>
              <w:rPr>
                <w:sz w:val="19"/>
              </w:rPr>
              <w:t>Migrer vers sqflite_sqlcipher, clé dérivée et stockée dans le Keystore</w:t>
            </w:r>
          </w:p>
        </w:tc>
        <w:tc>
          <w:tcPr>
            <w:tcW w:type="dxa" w:w="1417"/>
          </w:tcPr>
          <w:p>
            <w:r/>
            <w:r>
              <w:rPr>
                <w:sz w:val="19"/>
              </w:rPr>
              <w:t>Élevée</w:t>
            </w:r>
          </w:p>
        </w:tc>
      </w:tr>
      <w:tr>
        <w:tc>
          <w:tcPr>
            <w:tcW w:type="dxa" w:w="2551"/>
          </w:tcPr>
          <w:p>
            <w:r/>
            <w:r>
              <w:rPr>
                <w:sz w:val="19"/>
              </w:rPr>
              <w:t>Code MFA constant</w:t>
            </w:r>
          </w:p>
        </w:tc>
        <w:tc>
          <w:tcPr>
            <w:tcW w:type="dxa" w:w="2835"/>
          </w:tcPr>
          <w:p>
            <w:r/>
            <w:r>
              <w:rPr>
                <w:sz w:val="19"/>
              </w:rPr>
              <w:t>Le second facteur n'en est pas un : il ne dépend ni du temps, ni d'un secret par utilisateur</w:t>
            </w:r>
          </w:p>
        </w:tc>
        <w:tc>
          <w:tcPr>
            <w:tcW w:type="dxa" w:w="3118"/>
          </w:tcPr>
          <w:p>
            <w:r/>
            <w:r>
              <w:rPr>
                <w:sz w:val="19"/>
              </w:rPr>
              <w:t>TOTP réel (otplib), provisionnement par QR code</w:t>
            </w:r>
          </w:p>
        </w:tc>
        <w:tc>
          <w:tcPr>
            <w:tcW w:type="dxa" w:w="1417"/>
          </w:tcPr>
          <w:p>
            <w:r/>
            <w:r>
              <w:rPr>
                <w:sz w:val="19"/>
              </w:rPr>
              <w:t>Élevée</w:t>
            </w:r>
          </w:p>
        </w:tc>
      </w:tr>
      <w:tr>
        <w:tc>
          <w:tcPr>
            <w:tcW w:type="dxa" w:w="2551"/>
          </w:tcPr>
          <w:p>
            <w:r/>
            <w:r>
              <w:rPr>
                <w:sz w:val="19"/>
              </w:rPr>
              <w:t>Chaîne d'audit non scellée par clé</w:t>
            </w:r>
          </w:p>
        </w:tc>
        <w:tc>
          <w:tcPr>
            <w:tcW w:type="dxa" w:w="2835"/>
          </w:tcPr>
          <w:p>
            <w:r/>
            <w:r>
              <w:rPr>
                <w:sz w:val="19"/>
              </w:rPr>
              <w:t>Un attaquant capable d'écrire peut recalculer toutes les empreintes</w:t>
            </w:r>
          </w:p>
        </w:tc>
        <w:tc>
          <w:tcPr>
            <w:tcW w:type="dxa" w:w="3118"/>
          </w:tcPr>
          <w:p>
            <w:r/>
            <w:r>
              <w:rPr>
                <w:sz w:val="19"/>
              </w:rPr>
              <w:t>HMAC à clé serveur, ou ancrage périodique dans le bucket WORM</w:t>
            </w:r>
          </w:p>
        </w:tc>
        <w:tc>
          <w:tcPr>
            <w:tcW w:type="dxa" w:w="1417"/>
          </w:tcPr>
          <w:p>
            <w:r/>
            <w:r>
              <w:rPr>
                <w:sz w:val="19"/>
              </w:rPr>
              <w:t>Élevée</w:t>
            </w:r>
          </w:p>
        </w:tc>
      </w:tr>
      <w:tr>
        <w:tc>
          <w:tcPr>
            <w:tcW w:type="dxa" w:w="2551"/>
          </w:tcPr>
          <w:p>
            <w:r/>
            <w:r>
              <w:rPr>
                <w:sz w:val="19"/>
              </w:rPr>
              <w:t>Journal d'audit sans volume persistant</w:t>
            </w:r>
          </w:p>
        </w:tc>
        <w:tc>
          <w:tcPr>
            <w:tcW w:type="dxa" w:w="2835"/>
          </w:tcPr>
          <w:p>
            <w:r/>
            <w:r>
              <w:rPr>
                <w:sz w:val="19"/>
              </w:rPr>
              <w:t>Le journal probatoire est détruit à chaque redéploiement</w:t>
            </w:r>
          </w:p>
        </w:tc>
        <w:tc>
          <w:tcPr>
            <w:tcW w:type="dxa" w:w="3118"/>
          </w:tcPr>
          <w:p>
            <w:r/>
            <w:r>
              <w:rPr>
                <w:sz w:val="19"/>
              </w:rPr>
              <w:t>Monter data/ sur un volume Docker</w:t>
            </w:r>
          </w:p>
        </w:tc>
        <w:tc>
          <w:tcPr>
            <w:tcW w:type="dxa" w:w="1417"/>
          </w:tcPr>
          <w:p>
            <w:r/>
            <w:r>
              <w:rPr>
                <w:sz w:val="19"/>
              </w:rPr>
              <w:t>Élevée</w:t>
            </w:r>
          </w:p>
        </w:tc>
      </w:tr>
      <w:tr>
        <w:tc>
          <w:tcPr>
            <w:tcW w:type="dxa" w:w="2551"/>
          </w:tcPr>
          <w:p>
            <w:r/>
            <w:r>
              <w:rPr>
                <w:sz w:val="19"/>
              </w:rPr>
              <w:t>Aucune durée de conservation définie</w:t>
            </w:r>
          </w:p>
        </w:tc>
        <w:tc>
          <w:tcPr>
            <w:tcW w:type="dxa" w:w="2835"/>
          </w:tcPr>
          <w:p>
            <w:r/>
            <w:r>
              <w:rPr>
                <w:sz w:val="19"/>
              </w:rPr>
              <w:t>Conservation sans limite, contraire à l'article 5.1.e</w:t>
            </w:r>
          </w:p>
        </w:tc>
        <w:tc>
          <w:tcPr>
            <w:tcW w:type="dxa" w:w="3118"/>
          </w:tcPr>
          <w:p>
            <w:r/>
            <w:r>
              <w:rPr>
                <w:sz w:val="19"/>
              </w:rPr>
              <w:t>Définir une politique par catégorie et l'appliquer par purge</w:t>
            </w:r>
          </w:p>
        </w:tc>
        <w:tc>
          <w:tcPr>
            <w:tcW w:type="dxa" w:w="1417"/>
          </w:tcPr>
          <w:p>
            <w:r/>
            <w:r>
              <w:rPr>
                <w:sz w:val="19"/>
              </w:rPr>
              <w:t>Moyenne</w:t>
            </w:r>
          </w:p>
        </w:tc>
      </w:tr>
      <w:tr>
        <w:tc>
          <w:tcPr>
            <w:tcW w:type="dxa" w:w="2551"/>
          </w:tcPr>
          <w:p>
            <w:r/>
            <w:r>
              <w:rPr>
                <w:sz w:val="19"/>
              </w:rPr>
              <w:t>Pas de procédure d'exercice des droits</w:t>
            </w:r>
          </w:p>
        </w:tc>
        <w:tc>
          <w:tcPr>
            <w:tcW w:type="dxa" w:w="2835"/>
          </w:tcPr>
          <w:p>
            <w:r/>
            <w:r>
              <w:rPr>
                <w:sz w:val="19"/>
              </w:rPr>
              <w:t>Aucun circuit pour l'accès, la rectification ou l'effacement</w:t>
            </w:r>
          </w:p>
        </w:tc>
        <w:tc>
          <w:tcPr>
            <w:tcW w:type="dxa" w:w="3118"/>
          </w:tcPr>
          <w:p>
            <w:r/>
            <w:r>
              <w:rPr>
                <w:sz w:val="19"/>
              </w:rPr>
              <w:t>Documenter le circuit et désigner un point de contact</w:t>
            </w:r>
          </w:p>
        </w:tc>
        <w:tc>
          <w:tcPr>
            <w:tcW w:type="dxa" w:w="1417"/>
          </w:tcPr>
          <w:p>
            <w:r/>
            <w:r>
              <w:rPr>
                <w:sz w:val="19"/>
              </w:rPr>
              <w:t>Moyenne</w:t>
            </w:r>
          </w:p>
        </w:tc>
      </w:tr>
    </w:tbl>
    <w:p/>
    <w:p>
      <w:pPr>
        <w:spacing w:before="280"/>
      </w:pPr>
      <w:r>
        <w:rPr>
          <w:b/>
          <w:color w:val="1F4E79"/>
          <w:sz w:val="28"/>
        </w:rPr>
        <w:t>6. Conclusion</w:t>
      </w:r>
    </w:p>
    <w:p>
      <w:r>
        <w:rPr>
          <w:i w:val="0"/>
        </w:rPr>
        <w:t>Le traitement présente un risque résiduel modéré. Les mesures de contrôle d'accès, de traçabilité et de scellement des preuves sont en place et vérifiables. Les quatre écarts de priorité élevée relèvent tous de la protection des données au repos ou de l'intégrité de la preuve ; aucun ne remet en cause la licéité du traitement, mais leur correction conditionne un déploiement en production.</w:t>
      </w:r>
    </w:p>
    <w:p>
      <w:r>
        <w:rPr>
          <w:i/>
        </w:rPr>
        <w:t>Cette analyse est un extrait : elle ne se substitue pas à une DPIA complète, qui suppose la consultation des représentants du personnel et la validation par le délégué à la protection des données.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