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Matrice Effort / Impact — Améliorations V2</w:t>
      </w:r>
    </w:p>
    <w:p>
      <w:r>
        <w:rPr>
          <w:color w:val="555555"/>
          <w:sz w:val="24"/>
        </w:rPr>
        <w:t>BuildFlow — Top 5 des chantiers prioritaires après le Livrable 3</w:t>
      </w:r>
    </w:p>
    <w:p>
      <w:r>
        <w:rPr>
          <w:i/>
          <w:color w:val="555555"/>
          <w:sz w:val="18"/>
        </w:rPr>
        <w:t>Livrable 3 · Palier 3 — Gouvernance et clôture · Version 1.0 — 1er août 2026</w:t>
      </w:r>
    </w:p>
    <w:p/>
    <w:p>
      <w:pPr>
        <w:spacing w:before="280"/>
      </w:pPr>
      <w:r>
        <w:rPr>
          <w:b/>
          <w:color w:val="1F4E79"/>
          <w:sz w:val="28"/>
        </w:rPr>
        <w:t>1. Méthode</w:t>
      </w:r>
    </w:p>
    <w:p>
      <w:r>
        <w:rPr>
          <w:i w:val="0"/>
        </w:rPr>
        <w:t>Les cinq améliorations retenues sont issues de l'audit technique du 28 juillet 2026 et des constats faits pendant les correctifs du Livrable 3. Chacune est cotée sur deux axes.</w:t>
      </w:r>
    </w:p>
    <w:p>
      <w:r>
        <w:rPr>
          <w:i w:val="0"/>
        </w:rPr>
        <w:t>L'effort est exprimé en jours-homme, sur la base des chantiers comparables déjà menés. L'impact combine la valeur métier, la réduction de risque et la visibilité pour l'utilisateur final.</w:t>
      </w:r>
    </w:p>
    <w:p>
      <w:r>
        <w:rPr>
          <w:i/>
        </w:rPr>
        <w:t>Un principe a guidé la sélection : ne retenir que des chantiers dont le besoin est démontré par une observation, jamais par une supposition.</w:t>
      </w:r>
    </w:p>
    <w:p>
      <w:pPr>
        <w:spacing w:before="280"/>
      </w:pPr>
      <w:r>
        <w:rPr>
          <w:b/>
          <w:color w:val="1F4E79"/>
          <w:sz w:val="28"/>
        </w:rPr>
        <w:t>2. Matrice</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680"/>
          </w:tcPr>
          <w:p>
            <w:r/>
            <w:r>
              <w:rPr>
                <w:b/>
                <w:sz w:val="19"/>
              </w:rPr>
              <w:t>#</w:t>
            </w:r>
          </w:p>
        </w:tc>
        <w:tc>
          <w:tcPr>
            <w:tcW w:type="dxa" w:w="4252"/>
          </w:tcPr>
          <w:p>
            <w:r/>
            <w:r>
              <w:rPr>
                <w:b/>
                <w:sz w:val="19"/>
              </w:rPr>
              <w:t>Amélioration</w:t>
            </w:r>
          </w:p>
        </w:tc>
        <w:tc>
          <w:tcPr>
            <w:tcW w:type="dxa" w:w="1247"/>
          </w:tcPr>
          <w:p>
            <w:r/>
            <w:r>
              <w:rPr>
                <w:b/>
                <w:sz w:val="19"/>
              </w:rPr>
              <w:t>Effort</w:t>
            </w:r>
          </w:p>
        </w:tc>
        <w:tc>
          <w:tcPr>
            <w:tcW w:type="dxa" w:w="1417"/>
          </w:tcPr>
          <w:p>
            <w:r/>
            <w:r>
              <w:rPr>
                <w:b/>
                <w:sz w:val="19"/>
              </w:rPr>
              <w:t>Impact</w:t>
            </w:r>
          </w:p>
        </w:tc>
        <w:tc>
          <w:tcPr>
            <w:tcW w:type="dxa" w:w="2268"/>
          </w:tcPr>
          <w:p>
            <w:r/>
            <w:r>
              <w:rPr>
                <w:b/>
                <w:sz w:val="19"/>
              </w:rPr>
              <w:t>Priorité</w:t>
            </w:r>
          </w:p>
        </w:tc>
      </w:tr>
      <w:tr>
        <w:tc>
          <w:tcPr>
            <w:tcW w:type="dxa" w:w="680"/>
          </w:tcPr>
          <w:p>
            <w:r/>
            <w:r>
              <w:rPr>
                <w:sz w:val="19"/>
              </w:rPr>
              <w:t>1</w:t>
            </w:r>
          </w:p>
        </w:tc>
        <w:tc>
          <w:tcPr>
            <w:tcW w:type="dxa" w:w="4252"/>
          </w:tcPr>
          <w:p>
            <w:r/>
            <w:r>
              <w:rPr>
                <w:sz w:val="19"/>
              </w:rPr>
              <w:t>Chiffrement de la base locale mobile</w:t>
            </w:r>
          </w:p>
        </w:tc>
        <w:tc>
          <w:tcPr>
            <w:tcW w:type="dxa" w:w="1247"/>
          </w:tcPr>
          <w:p>
            <w:r/>
            <w:r>
              <w:rPr>
                <w:sz w:val="19"/>
              </w:rPr>
              <w:t>3 j</w:t>
            </w:r>
          </w:p>
        </w:tc>
        <w:tc>
          <w:tcPr>
            <w:tcW w:type="dxa" w:w="1417"/>
          </w:tcPr>
          <w:p>
            <w:r/>
            <w:r>
              <w:rPr>
                <w:sz w:val="19"/>
              </w:rPr>
              <w:t>Élevé</w:t>
            </w:r>
          </w:p>
        </w:tc>
        <w:tc>
          <w:tcPr>
            <w:tcW w:type="dxa" w:w="2268"/>
          </w:tcPr>
          <w:p>
            <w:r/>
            <w:r>
              <w:rPr>
                <w:sz w:val="19"/>
              </w:rPr>
              <w:t>1 — Faire</w:t>
            </w:r>
          </w:p>
        </w:tc>
      </w:tr>
      <w:tr>
        <w:tc>
          <w:tcPr>
            <w:tcW w:type="dxa" w:w="680"/>
          </w:tcPr>
          <w:p>
            <w:r/>
            <w:r>
              <w:rPr>
                <w:sz w:val="19"/>
              </w:rPr>
              <w:t>2</w:t>
            </w:r>
          </w:p>
        </w:tc>
        <w:tc>
          <w:tcPr>
            <w:tcW w:type="dxa" w:w="4252"/>
          </w:tcPr>
          <w:p>
            <w:r/>
            <w:r>
              <w:rPr>
                <w:sz w:val="19"/>
              </w:rPr>
              <w:t>MFA par TOTP réel</w:t>
            </w:r>
          </w:p>
        </w:tc>
        <w:tc>
          <w:tcPr>
            <w:tcW w:type="dxa" w:w="1247"/>
          </w:tcPr>
          <w:p>
            <w:r/>
            <w:r>
              <w:rPr>
                <w:sz w:val="19"/>
              </w:rPr>
              <w:t>4 j</w:t>
            </w:r>
          </w:p>
        </w:tc>
        <w:tc>
          <w:tcPr>
            <w:tcW w:type="dxa" w:w="1417"/>
          </w:tcPr>
          <w:p>
            <w:r/>
            <w:r>
              <w:rPr>
                <w:sz w:val="19"/>
              </w:rPr>
              <w:t>Élevé</w:t>
            </w:r>
          </w:p>
        </w:tc>
        <w:tc>
          <w:tcPr>
            <w:tcW w:type="dxa" w:w="2268"/>
          </w:tcPr>
          <w:p>
            <w:r/>
            <w:r>
              <w:rPr>
                <w:sz w:val="19"/>
              </w:rPr>
              <w:t>2 — Faire</w:t>
            </w:r>
          </w:p>
        </w:tc>
      </w:tr>
      <w:tr>
        <w:tc>
          <w:tcPr>
            <w:tcW w:type="dxa" w:w="680"/>
          </w:tcPr>
          <w:p>
            <w:r/>
            <w:r>
              <w:rPr>
                <w:sz w:val="19"/>
              </w:rPr>
              <w:t>3</w:t>
            </w:r>
          </w:p>
        </w:tc>
        <w:tc>
          <w:tcPr>
            <w:tcW w:type="dxa" w:w="4252"/>
          </w:tcPr>
          <w:p>
            <w:r/>
            <w:r>
              <w:rPr>
                <w:sz w:val="19"/>
              </w:rPr>
              <w:t>Scellement de la chaîne d'audit par HMAC</w:t>
            </w:r>
          </w:p>
        </w:tc>
        <w:tc>
          <w:tcPr>
            <w:tcW w:type="dxa" w:w="1247"/>
          </w:tcPr>
          <w:p>
            <w:r/>
            <w:r>
              <w:rPr>
                <w:sz w:val="19"/>
              </w:rPr>
              <w:t>2 j</w:t>
            </w:r>
          </w:p>
        </w:tc>
        <w:tc>
          <w:tcPr>
            <w:tcW w:type="dxa" w:w="1417"/>
          </w:tcPr>
          <w:p>
            <w:r/>
            <w:r>
              <w:rPr>
                <w:sz w:val="19"/>
              </w:rPr>
              <w:t>Élevé</w:t>
            </w:r>
          </w:p>
        </w:tc>
        <w:tc>
          <w:tcPr>
            <w:tcW w:type="dxa" w:w="2268"/>
          </w:tcPr>
          <w:p>
            <w:r/>
            <w:r>
              <w:rPr>
                <w:sz w:val="19"/>
              </w:rPr>
              <w:t>3 — Faire en premier</w:t>
            </w:r>
          </w:p>
        </w:tc>
      </w:tr>
      <w:tr>
        <w:tc>
          <w:tcPr>
            <w:tcW w:type="dxa" w:w="680"/>
          </w:tcPr>
          <w:p>
            <w:r/>
            <w:r>
              <w:rPr>
                <w:sz w:val="19"/>
              </w:rPr>
              <w:t>4</w:t>
            </w:r>
          </w:p>
        </w:tc>
        <w:tc>
          <w:tcPr>
            <w:tcW w:type="dxa" w:w="4252"/>
          </w:tcPr>
          <w:p>
            <w:r/>
            <w:r>
              <w:rPr>
                <w:sz w:val="19"/>
              </w:rPr>
              <w:t>Résolution assistée des conflits de synchronisation</w:t>
            </w:r>
          </w:p>
        </w:tc>
        <w:tc>
          <w:tcPr>
            <w:tcW w:type="dxa" w:w="1247"/>
          </w:tcPr>
          <w:p>
            <w:r/>
            <w:r>
              <w:rPr>
                <w:sz w:val="19"/>
              </w:rPr>
              <w:t>8 j</w:t>
            </w:r>
          </w:p>
        </w:tc>
        <w:tc>
          <w:tcPr>
            <w:tcW w:type="dxa" w:w="1417"/>
          </w:tcPr>
          <w:p>
            <w:r/>
            <w:r>
              <w:rPr>
                <w:sz w:val="19"/>
              </w:rPr>
              <w:t>Moyen</w:t>
            </w:r>
          </w:p>
        </w:tc>
        <w:tc>
          <w:tcPr>
            <w:tcW w:type="dxa" w:w="2268"/>
          </w:tcPr>
          <w:p>
            <w:r/>
            <w:r>
              <w:rPr>
                <w:sz w:val="19"/>
              </w:rPr>
              <w:t>4 — Planifier</w:t>
            </w:r>
          </w:p>
        </w:tc>
      </w:tr>
      <w:tr>
        <w:tc>
          <w:tcPr>
            <w:tcW w:type="dxa" w:w="680"/>
          </w:tcPr>
          <w:p>
            <w:r/>
            <w:r>
              <w:rPr>
                <w:sz w:val="19"/>
              </w:rPr>
              <w:t>5</w:t>
            </w:r>
          </w:p>
        </w:tc>
        <w:tc>
          <w:tcPr>
            <w:tcW w:type="dxa" w:w="4252"/>
          </w:tcPr>
          <w:p>
            <w:r/>
            <w:r>
              <w:rPr>
                <w:sz w:val="19"/>
              </w:rPr>
              <w:t>Visionneuse BIM des constats</w:t>
            </w:r>
          </w:p>
        </w:tc>
        <w:tc>
          <w:tcPr>
            <w:tcW w:type="dxa" w:w="1247"/>
          </w:tcPr>
          <w:p>
            <w:r/>
            <w:r>
              <w:rPr>
                <w:sz w:val="19"/>
              </w:rPr>
              <w:t>20 j</w:t>
            </w:r>
          </w:p>
        </w:tc>
        <w:tc>
          <w:tcPr>
            <w:tcW w:type="dxa" w:w="1417"/>
          </w:tcPr>
          <w:p>
            <w:r/>
            <w:r>
              <w:rPr>
                <w:sz w:val="19"/>
              </w:rPr>
              <w:t>Moyen</w:t>
            </w:r>
          </w:p>
        </w:tc>
        <w:tc>
          <w:tcPr>
            <w:tcW w:type="dxa" w:w="2268"/>
          </w:tcPr>
          <w:p>
            <w:r/>
            <w:r>
              <w:rPr>
                <w:sz w:val="19"/>
              </w:rPr>
              <w:t>5 — Étudier</w:t>
            </w:r>
          </w:p>
        </w:tc>
      </w:tr>
    </w:tbl>
    <w:p/>
    <w:p>
      <w:r>
        <w:rPr>
          <w:i/>
        </w:rPr>
        <w:t>Lecture : l'amélioration 3 présente le meilleur rapport — deux jours pour lever une réserve qui porte sur la valeur probatoire du produit. Elle devrait être traitée avant les deux premières malgré son rang.</w:t>
      </w:r>
    </w:p>
    <w:p>
      <w:pPr>
        <w:spacing w:before="280"/>
      </w:pPr>
      <w:r>
        <w:rPr>
          <w:b/>
          <w:color w:val="1F4E79"/>
          <w:sz w:val="28"/>
        </w:rPr>
        <w:t>3. Détail des améliorations</w:t>
      </w:r>
    </w:p>
    <w:p>
      <w:pPr>
        <w:spacing w:before="200"/>
      </w:pPr>
      <w:r>
        <w:rPr>
          <w:b/>
          <w:sz w:val="23"/>
        </w:rPr>
        <w:t>3.1 Chiffrement de la base locale mobile — 3 j, impact élevé</w:t>
      </w:r>
    </w:p>
    <w:p>
      <w:r>
        <w:rPr>
          <w:i w:val="0"/>
        </w:rPr>
        <w:t>Constat : apps/mobile-flutter utilise sqflite sans clé de chiffrement. Le fichier buildflow_mobile.db se lit avec n'importe quel client SQLite sur un téléphone rooté, perdu ou volé. Il contient les constats de non-conformité et les chemins des photos — données client, avec un angle RGPD.</w:t>
      </w:r>
    </w:p>
    <w:p>
      <w:r>
        <w:rPr>
          <w:i w:val="0"/>
        </w:rPr>
        <w:t>Mise en œuvre : remplacer sqflite par sqflite_sqlcipher, dériver la clé à la première ouverture de session et la stocker dans le Keystore Android, déjà utilisé pour le jeton depuis feat/mobile-auth.</w:t>
      </w:r>
    </w:p>
    <w:p>
      <w:r>
        <w:rPr>
          <w:i w:val="0"/>
        </w:rPr>
        <w:t>Risque principal : la migration des données locales existantes. Une base créée en clair ne s'ouvre pas avec une clé ; une erreur rend illisibles les constats déjà saisis sur le terrain. C'est ce qui justifie les trois jours plutôt qu'un seul.</w:t>
      </w:r>
    </w:p>
    <w:p>
      <w:pPr>
        <w:spacing w:before="200"/>
      </w:pPr>
      <w:r>
        <w:rPr>
          <w:b/>
          <w:sz w:val="23"/>
        </w:rPr>
        <w:t>3.2 MFA par TOTP réel — 4 j, impact élevé</w:t>
      </w:r>
    </w:p>
    <w:p>
      <w:r>
        <w:rPr>
          <w:i w:val="0"/>
        </w:rPr>
        <w:t>Constat : le code MFA est la constante 123456. Il ne dépend ni du temps, ni d'un secret par utilisateur, ni d'un appareil. Une personne qui le connaît le connaît pour tous les comptes, indéfiniment. La note de cadrage annonce pourtant « Authentification 100 % OIDC + MFA ».</w:t>
      </w:r>
    </w:p>
    <w:p>
      <w:r>
        <w:rPr>
          <w:i w:val="0"/>
        </w:rPr>
        <w:t>Mise en œuvre : otplib côté serveur, un secret par utilisateur dans une colonne users.mfa_secret, provisionnement par QR code à la première connexion, fenêtre de tolérance de 30 secondes. Le parcours d'interface existe déjà, web et mobile : seule la vérification change.</w:t>
      </w:r>
    </w:p>
    <w:p>
      <w:r>
        <w:rPr>
          <w:i w:val="0"/>
        </w:rPr>
        <w:t>Le socle est prêt : les comptes sont en base avec un hachage argon2id depuis la migration 003, et RolesGuard contrôle déjà la claim amr du jeton.</w:t>
      </w:r>
    </w:p>
    <w:p>
      <w:pPr>
        <w:spacing w:before="200"/>
      </w:pPr>
      <w:r>
        <w:rPr>
          <w:b/>
          <w:sz w:val="23"/>
        </w:rPr>
        <w:t>3.3 Scellement de la chaîne d'audit par HMAC — 2 j, impact élevé</w:t>
      </w:r>
    </w:p>
    <w:p>
      <w:r>
        <w:rPr>
          <w:i w:val="0"/>
        </w:rPr>
        <w:t>Constat : audit.service.ts chaîne les entrées avec createHash('sha256'), sans clé. Quiconque peut écrire dans data/audit-log.jsonl peut modifier une entrée, recalculer toutes les empreintes suivantes, et verifyChain() répondra valid = true. La chaîne détecte l'accident, pas la falsification.</w:t>
      </w:r>
    </w:p>
    <w:p>
      <w:r>
        <w:rPr>
          <w:i w:val="0"/>
        </w:rPr>
        <w:t>Second constat, lié : le fichier n'est monté sur aucun volume Docker. Vérifié en exécution, la chaîne repart de GENESIS après chaque reconstruction d'image. Un journal probatoire détruit à chaque redéploiement ne prouve rien.</w:t>
      </w:r>
    </w:p>
    <w:p>
      <w:r>
        <w:rPr>
          <w:i w:val="0"/>
        </w:rPr>
        <w:t>Mise en œuvre : remplacer createHash par createHmac avec une clé serveur tenue hors du fichier — un attaquant ne peut alors plus recalculer la chaîne. Ajouter le montage du volume. Optionnellement, ancrer l'empreinte de tête dans le bucket WORM, déjà configuré.</w:t>
      </w:r>
    </w:p>
    <w:p>
      <w:r>
        <w:rPr>
          <w:i/>
        </w:rPr>
        <w:t>C'est le chantier au meilleur rapport : deux jours pour transformer une affirmation contestée par l'audit en propriété démontrable.</w:t>
      </w:r>
    </w:p>
    <w:p>
      <w:pPr>
        <w:spacing w:before="200"/>
      </w:pPr>
      <w:r>
        <w:rPr>
          <w:b/>
          <w:sz w:val="23"/>
        </w:rPr>
        <w:t>3.4 Résolution assistée des conflits de synchronisation — 8 j, impact moyen</w:t>
      </w:r>
    </w:p>
    <w:p>
      <w:r>
        <w:rPr>
          <w:i w:val="0"/>
        </w:rPr>
        <w:t>Constat : la file de synchronisation gère les conflits par un dernier-écrivain-gagne, avec un statut CONFLICT exposé mais aucune interface pour arbitrer. Deux chefs de chantier modifiant la même NCR hors ligne produisent une perte silencieuse.</w:t>
      </w:r>
    </w:p>
    <w:p>
      <w:r>
        <w:rPr>
          <w:i w:val="0"/>
        </w:rPr>
        <w:t>Mise en œuvre : écran de résolution côté web listant les entrées en conflit, affichage des deux versions champ par champ, choix explicite. L'endpoint POST /sync/resolve existe déjà.</w:t>
      </w:r>
    </w:p>
    <w:p>
      <w:r>
        <w:rPr>
          <w:i w:val="0"/>
        </w:rPr>
        <w:t>Impact coté moyen car le cas est rare à l'échelle d'un chantier, mais il touche l'intégrité des données quand il survient.</w:t>
      </w:r>
    </w:p>
    <w:p>
      <w:pPr>
        <w:spacing w:before="200"/>
      </w:pPr>
      <w:r>
        <w:rPr>
          <w:b/>
          <w:sz w:val="23"/>
        </w:rPr>
        <w:t>3.5 Visionneuse BIM des constats — 20 j, impact moyen</w:t>
      </w:r>
    </w:p>
    <w:p>
      <w:r>
        <w:rPr>
          <w:i w:val="0"/>
        </w:rPr>
        <w:t>Constat : les NCR portent des coordonnées GPS mais aucune position dans la maquette numérique. Un constat « ferraillage non conforme » ne se rattache pas à un élément d'ouvrage identifié.</w:t>
      </w:r>
    </w:p>
    <w:p>
      <w:r>
        <w:rPr>
          <w:i w:val="0"/>
        </w:rPr>
        <w:t>Mise en œuvre : intégration d'une visionneuse IFC, ancrage des NCR sur les éléments, navigation depuis la fiche. Suppose un format d'échange normalisé avec le bureau d'études.</w:t>
      </w:r>
    </w:p>
    <w:p>
      <w:r>
        <w:rPr>
          <w:i w:val="0"/>
        </w:rPr>
        <w:t>Effort élevé et dépendances externes fortes. À étudier en cadrage V2 plutôt qu'à engager, sauf demande client explicite.</w:t>
      </w:r>
    </w:p>
    <w:p>
      <w:pPr>
        <w:spacing w:before="280"/>
      </w:pPr>
      <w:r>
        <w:rPr>
          <w:b/>
          <w:color w:val="1F4E79"/>
          <w:sz w:val="28"/>
        </w:rPr>
        <w:t>4. Trajectoire recommandée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551"/>
          </w:tcPr>
          <w:p>
            <w:r/>
            <w:r>
              <w:rPr>
                <w:b/>
                <w:sz w:val="19"/>
              </w:rPr>
              <w:t>Séquence</w:t>
            </w:r>
          </w:p>
        </w:tc>
        <w:tc>
          <w:tcPr>
            <w:tcW w:type="dxa" w:w="1417"/>
          </w:tcPr>
          <w:p>
            <w:r/>
            <w:r>
              <w:rPr>
                <w:b/>
                <w:sz w:val="19"/>
              </w:rPr>
              <w:t>Chantiers</w:t>
            </w:r>
          </w:p>
        </w:tc>
        <w:tc>
          <w:tcPr>
            <w:tcW w:type="dxa" w:w="1701"/>
          </w:tcPr>
          <w:p>
            <w:r/>
            <w:r>
              <w:rPr>
                <w:b/>
                <w:sz w:val="19"/>
              </w:rPr>
              <w:t>Effort cumulé</w:t>
            </w:r>
          </w:p>
        </w:tc>
        <w:tc>
          <w:tcPr>
            <w:tcW w:type="dxa" w:w="3969"/>
          </w:tcPr>
          <w:p>
            <w:r/>
            <w:r>
              <w:rPr>
                <w:b/>
                <w:sz w:val="19"/>
              </w:rPr>
              <w:t>Résultat attendu</w:t>
            </w:r>
          </w:p>
        </w:tc>
      </w:tr>
      <w:tr>
        <w:tc>
          <w:tcPr>
            <w:tcW w:type="dxa" w:w="2551"/>
          </w:tcPr>
          <w:p>
            <w:r/>
            <w:r>
              <w:rPr>
                <w:sz w:val="19"/>
              </w:rPr>
              <w:t>Lot 1 — Sécurité de la preuve</w:t>
            </w:r>
          </w:p>
        </w:tc>
        <w:tc>
          <w:tcPr>
            <w:tcW w:type="dxa" w:w="1417"/>
          </w:tcPr>
          <w:p>
            <w:r/>
            <w:r>
              <w:rPr>
                <w:sz w:val="19"/>
              </w:rPr>
              <w:t>3</w:t>
            </w:r>
          </w:p>
        </w:tc>
        <w:tc>
          <w:tcPr>
            <w:tcW w:type="dxa" w:w="1701"/>
          </w:tcPr>
          <w:p>
            <w:r/>
            <w:r>
              <w:rPr>
                <w:sz w:val="19"/>
              </w:rPr>
              <w:t>2 j</w:t>
            </w:r>
          </w:p>
        </w:tc>
        <w:tc>
          <w:tcPr>
            <w:tcW w:type="dxa" w:w="3969"/>
          </w:tcPr>
          <w:p>
            <w:r/>
            <w:r>
              <w:rPr>
                <w:sz w:val="19"/>
              </w:rPr>
              <w:t>La mention « journaux inaltérables » devient démontrable</w:t>
            </w:r>
          </w:p>
        </w:tc>
      </w:tr>
      <w:tr>
        <w:tc>
          <w:tcPr>
            <w:tcW w:type="dxa" w:w="2551"/>
          </w:tcPr>
          <w:p>
            <w:r/>
            <w:r>
              <w:rPr>
                <w:sz w:val="19"/>
              </w:rPr>
              <w:t>Lot 2 — Authentification</w:t>
            </w:r>
          </w:p>
        </w:tc>
        <w:tc>
          <w:tcPr>
            <w:tcW w:type="dxa" w:w="1417"/>
          </w:tcPr>
          <w:p>
            <w:r/>
            <w:r>
              <w:rPr>
                <w:sz w:val="19"/>
              </w:rPr>
              <w:t>2</w:t>
            </w:r>
          </w:p>
        </w:tc>
        <w:tc>
          <w:tcPr>
            <w:tcW w:type="dxa" w:w="1701"/>
          </w:tcPr>
          <w:p>
            <w:r/>
            <w:r>
              <w:rPr>
                <w:sz w:val="19"/>
              </w:rPr>
              <w:t>6 j</w:t>
            </w:r>
          </w:p>
        </w:tc>
        <w:tc>
          <w:tcPr>
            <w:tcW w:type="dxa" w:w="3969"/>
          </w:tcPr>
          <w:p>
            <w:r/>
            <w:r>
              <w:rPr>
                <w:sz w:val="19"/>
              </w:rPr>
              <w:t>Le MFA annoncé devient réel</w:t>
            </w:r>
          </w:p>
        </w:tc>
      </w:tr>
      <w:tr>
        <w:tc>
          <w:tcPr>
            <w:tcW w:type="dxa" w:w="2551"/>
          </w:tcPr>
          <w:p>
            <w:r/>
            <w:r>
              <w:rPr>
                <w:sz w:val="19"/>
              </w:rPr>
              <w:t>Lot 3 — Données au repos</w:t>
            </w:r>
          </w:p>
        </w:tc>
        <w:tc>
          <w:tcPr>
            <w:tcW w:type="dxa" w:w="1417"/>
          </w:tcPr>
          <w:p>
            <w:r/>
            <w:r>
              <w:rPr>
                <w:sz w:val="19"/>
              </w:rPr>
              <w:t>1</w:t>
            </w:r>
          </w:p>
        </w:tc>
        <w:tc>
          <w:tcPr>
            <w:tcW w:type="dxa" w:w="1701"/>
          </w:tcPr>
          <w:p>
            <w:r/>
            <w:r>
              <w:rPr>
                <w:sz w:val="19"/>
              </w:rPr>
              <w:t>9 j</w:t>
            </w:r>
          </w:p>
        </w:tc>
        <w:tc>
          <w:tcPr>
            <w:tcW w:type="dxa" w:w="3969"/>
          </w:tcPr>
          <w:p>
            <w:r/>
            <w:r>
              <w:rPr>
                <w:sz w:val="19"/>
              </w:rPr>
              <w:t>Conformité RGPD du volet mobile</w:t>
            </w:r>
          </w:p>
        </w:tc>
      </w:tr>
      <w:tr>
        <w:tc>
          <w:tcPr>
            <w:tcW w:type="dxa" w:w="2551"/>
          </w:tcPr>
          <w:p>
            <w:r/>
            <w:r>
              <w:rPr>
                <w:sz w:val="19"/>
              </w:rPr>
              <w:t>Lot 4 — Robustesse</w:t>
            </w:r>
          </w:p>
        </w:tc>
        <w:tc>
          <w:tcPr>
            <w:tcW w:type="dxa" w:w="1417"/>
          </w:tcPr>
          <w:p>
            <w:r/>
            <w:r>
              <w:rPr>
                <w:sz w:val="19"/>
              </w:rPr>
              <w:t>4</w:t>
            </w:r>
          </w:p>
        </w:tc>
        <w:tc>
          <w:tcPr>
            <w:tcW w:type="dxa" w:w="1701"/>
          </w:tcPr>
          <w:p>
            <w:r/>
            <w:r>
              <w:rPr>
                <w:sz w:val="19"/>
              </w:rPr>
              <w:t>17 j</w:t>
            </w:r>
          </w:p>
        </w:tc>
        <w:tc>
          <w:tcPr>
            <w:tcW w:type="dxa" w:w="3969"/>
          </w:tcPr>
          <w:p>
            <w:r/>
            <w:r>
              <w:rPr>
                <w:sz w:val="19"/>
              </w:rPr>
              <w:t>Plus de perte silencieuse en cas de conflit</w:t>
            </w:r>
          </w:p>
        </w:tc>
      </w:tr>
      <w:tr>
        <w:tc>
          <w:tcPr>
            <w:tcW w:type="dxa" w:w="2551"/>
          </w:tcPr>
          <w:p>
            <w:r/>
            <w:r>
              <w:rPr>
                <w:sz w:val="19"/>
              </w:rPr>
              <w:t>Hors trajectoire</w:t>
            </w:r>
          </w:p>
        </w:tc>
        <w:tc>
          <w:tcPr>
            <w:tcW w:type="dxa" w:w="1417"/>
          </w:tcPr>
          <w:p>
            <w:r/>
            <w:r>
              <w:rPr>
                <w:sz w:val="19"/>
              </w:rPr>
              <w:t>5</w:t>
            </w:r>
          </w:p>
        </w:tc>
        <w:tc>
          <w:tcPr>
            <w:tcW w:type="dxa" w:w="1701"/>
          </w:tcPr>
          <w:p>
            <w:r/>
            <w:r>
              <w:rPr>
                <w:sz w:val="19"/>
              </w:rPr>
              <w:t>—</w:t>
            </w:r>
          </w:p>
        </w:tc>
        <w:tc>
          <w:tcPr>
            <w:tcW w:type="dxa" w:w="3969"/>
          </w:tcPr>
          <w:p>
            <w:r/>
            <w:r>
              <w:rPr>
                <w:sz w:val="19"/>
              </w:rPr>
              <w:t>À cadrer en V2</w:t>
            </w:r>
          </w:p>
        </w:tc>
      </w:tr>
    </w:tbl>
    <w:p/>
    <w:p>
      <w:r>
        <w:rPr>
          <w:i/>
        </w:rPr>
        <w:t>Les trois premiers lots totalisent neuf jours et lèvent l'intégralité des réserves de sécurité formulées par l'audit. C'est la séquence que nous recommandons d'engager en priorité.</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