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0"/>
        </w:rPr>
        <w:t>Règles d'alertes SIEM</w:t>
      </w:r>
    </w:p>
    <w:p>
      <w:r>
        <w:rPr>
          <w:color w:val="555555"/>
          <w:sz w:val="24"/>
        </w:rPr>
        <w:t>BuildFlow — Détection des comportements suspects sur l'API</w:t>
      </w:r>
    </w:p>
    <w:p>
      <w:r>
        <w:rPr>
          <w:i/>
          <w:color w:val="555555"/>
          <w:sz w:val="18"/>
        </w:rPr>
        <w:t>Livrable 3 · Palier 3 — Gouvernance et sécurité · Version 1.0 — 1er août 2026</w:t>
      </w:r>
    </w:p>
    <w:p/>
    <w:p>
      <w:pPr>
        <w:spacing w:before="280"/>
      </w:pPr>
      <w:r>
        <w:rPr>
          <w:b/>
          <w:color w:val="1F4E79"/>
          <w:sz w:val="28"/>
        </w:rPr>
        <w:t>1. Objet et périmètre</w:t>
      </w:r>
    </w:p>
    <w:p>
      <w:r>
        <w:rPr>
          <w:i w:val="0"/>
        </w:rPr>
        <w:t>Ce document définit trois règles de détection destinées à un SIEM (Security Information and Event Management) surveillant l'API BuildFlow. Chaque règle s'appuie sur des événements réellement émis par l'application : aucune ne suppose une instrumentation qui n'existe pas.</w:t>
      </w:r>
    </w:p>
    <w:p>
      <w:r>
        <w:rPr>
          <w:i w:val="0"/>
        </w:rPr>
        <w:t>Le périmètre couvre l'API Gateway, seul composant exposé aux clients web et mobile. La base PostgreSQL, le broker RabbitMQ et le stockage MinIO ne sont pas accessibles depuis l'extérieur du réseau Docker.</w:t>
      </w:r>
    </w:p>
    <w:p>
      <w:pPr>
        <w:spacing w:before="280"/>
      </w:pPr>
      <w:r>
        <w:rPr>
          <w:b/>
          <w:color w:val="1F4E79"/>
          <w:sz w:val="28"/>
        </w:rPr>
        <w:t>2. Sources de journalisation disponibles</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tcPr>
          <w:p>
            <w:r/>
            <w:r>
              <w:rPr>
                <w:b/>
                <w:sz w:val="19"/>
              </w:rPr>
              <w:t>Source</w:t>
            </w:r>
          </w:p>
        </w:tc>
        <w:tc>
          <w:tcPr>
            <w:tcW w:type="dxa" w:w="3685"/>
          </w:tcPr>
          <w:p>
            <w:r/>
            <w:r>
              <w:rPr>
                <w:b/>
                <w:sz w:val="19"/>
              </w:rPr>
              <w:t>Contenu</w:t>
            </w:r>
          </w:p>
        </w:tc>
        <w:tc>
          <w:tcPr>
            <w:tcW w:type="dxa" w:w="2551"/>
          </w:tcPr>
          <w:p>
            <w:r/>
            <w:r>
              <w:rPr>
                <w:b/>
                <w:sz w:val="19"/>
              </w:rPr>
              <w:t>Exploitable pour</w:t>
            </w:r>
          </w:p>
        </w:tc>
      </w:tr>
      <w:tr>
        <w:tc>
          <w:tcPr>
            <w:tcW w:type="dxa" w:w="2835"/>
          </w:tcPr>
          <w:p>
            <w:r/>
            <w:r>
              <w:rPr>
                <w:sz w:val="19"/>
              </w:rPr>
              <w:t>Journal applicatif NestJS</w:t>
            </w:r>
          </w:p>
        </w:tc>
        <w:tc>
          <w:tcPr>
            <w:tcW w:type="dxa" w:w="3685"/>
          </w:tcPr>
          <w:p>
            <w:r/>
            <w:r>
              <w:rPr>
                <w:sz w:val="19"/>
              </w:rPr>
              <w:t>Codes HTTP, chemins, exceptions du guard</w:t>
            </w:r>
          </w:p>
        </w:tc>
        <w:tc>
          <w:tcPr>
            <w:tcW w:type="dxa" w:w="2551"/>
          </w:tcPr>
          <w:p>
            <w:r/>
            <w:r>
              <w:rPr>
                <w:sz w:val="19"/>
              </w:rPr>
              <w:t>Règles 1 et 2</w:t>
            </w:r>
          </w:p>
        </w:tc>
      </w:tr>
      <w:tr>
        <w:tc>
          <w:tcPr>
            <w:tcW w:type="dxa" w:w="2835"/>
          </w:tcPr>
          <w:p>
            <w:r/>
            <w:r>
              <w:rPr>
                <w:sz w:val="19"/>
              </w:rPr>
              <w:t>Journal d'audit chaîné</w:t>
            </w:r>
          </w:p>
        </w:tc>
        <w:tc>
          <w:tcPr>
            <w:tcW w:type="dxa" w:w="3685"/>
          </w:tcPr>
          <w:p>
            <w:r/>
            <w:r>
              <w:rPr>
                <w:sz w:val="19"/>
              </w:rPr>
              <w:t>Événements métier horodatés et hachés (SHA-256)</w:t>
            </w:r>
          </w:p>
        </w:tc>
        <w:tc>
          <w:tcPr>
            <w:tcW w:type="dxa" w:w="2551"/>
          </w:tcPr>
          <w:p>
            <w:r/>
            <w:r>
              <w:rPr>
                <w:sz w:val="19"/>
              </w:rPr>
              <w:t>Règle 3</w:t>
            </w:r>
          </w:p>
        </w:tc>
      </w:tr>
      <w:tr>
        <w:tc>
          <w:tcPr>
            <w:tcW w:type="dxa" w:w="2835"/>
          </w:tcPr>
          <w:p>
            <w:r/>
            <w:r>
              <w:rPr>
                <w:sz w:val="19"/>
              </w:rPr>
              <w:t>ThrottlerGuard</w:t>
            </w:r>
          </w:p>
        </w:tc>
        <w:tc>
          <w:tcPr>
            <w:tcW w:type="dxa" w:w="3685"/>
          </w:tcPr>
          <w:p>
            <w:r/>
            <w:r>
              <w:rPr>
                <w:sz w:val="19"/>
              </w:rPr>
              <w:t>Réponses HTTP 429 sur /auth/session</w:t>
            </w:r>
          </w:p>
        </w:tc>
        <w:tc>
          <w:tcPr>
            <w:tcW w:type="dxa" w:w="2551"/>
          </w:tcPr>
          <w:p>
            <w:r/>
            <w:r>
              <w:rPr>
                <w:sz w:val="19"/>
              </w:rPr>
              <w:t>Règle 1</w:t>
            </w:r>
          </w:p>
        </w:tc>
      </w:tr>
      <w:tr>
        <w:tc>
          <w:tcPr>
            <w:tcW w:type="dxa" w:w="2835"/>
          </w:tcPr>
          <w:p>
            <w:r/>
            <w:r>
              <w:rPr>
                <w:sz w:val="19"/>
              </w:rPr>
              <w:t>OpenTelemetry</w:t>
            </w:r>
          </w:p>
        </w:tc>
        <w:tc>
          <w:tcPr>
            <w:tcW w:type="dxa" w:w="3685"/>
          </w:tcPr>
          <w:p>
            <w:r/>
            <w:r>
              <w:rPr>
                <w:sz w:val="19"/>
              </w:rPr>
              <w:t>Traces HTTP (durées, statuts)</w:t>
            </w:r>
          </w:p>
        </w:tc>
        <w:tc>
          <w:tcPr>
            <w:tcW w:type="dxa" w:w="2551"/>
          </w:tcPr>
          <w:p>
            <w:r/>
            <w:r>
              <w:rPr>
                <w:sz w:val="19"/>
              </w:rPr>
              <w:t>Corrélation, non bloquant</w:t>
            </w:r>
          </w:p>
        </w:tc>
      </w:tr>
    </w:tbl>
    <w:p/>
    <w:p>
      <w:pPr>
        <w:spacing w:before="280"/>
      </w:pPr>
      <w:r>
        <w:rPr>
          <w:b/>
          <w:color w:val="1F4E79"/>
          <w:sz w:val="28"/>
        </w:rPr>
        <w:t>3. Règle 1 — Attaque par force brute sur l'authentification</w:t>
      </w:r>
    </w:p>
    <w:p>
      <w:pPr>
        <w:spacing w:before="200"/>
      </w:pPr>
      <w:r>
        <w:rPr>
          <w:b/>
          <w:sz w:val="23"/>
        </w:rPr>
        <w:t>3.1 Justification</w:t>
      </w:r>
    </w:p>
    <w:p>
      <w:r>
        <w:rPr>
          <w:i w:val="0"/>
        </w:rPr>
        <w:t>L'audit du 28 juillet 2026 a établi que POST /auth/session était ouvert au bruteforce : quatre comptes de démonstration aux adresses connues, et un code MFA à six chiffres. Une limitation de débit a depuis été posée — 10 tentatives par minute et par adresse IP — mais elle protège sans alerter. Le SIEM comble cet angle : le blocage devient un signal.</w:t>
      </w:r>
    </w:p>
    <w:p>
      <w:pPr>
        <w:spacing w:before="200"/>
      </w:pPr>
      <w:r>
        <w:rPr>
          <w:b/>
          <w:sz w:val="23"/>
        </w:rPr>
        <w:t>3.2 Condition de déclenchement</w:t>
      </w:r>
    </w:p>
    <w:p>
      <w:pPr>
        <w:spacing w:after="160"/>
        <w:ind w:left="283"/>
      </w:pPr>
      <w:r>
        <w:rPr>
          <w:rFonts w:ascii="Consolas" w:hAnsi="Consolas"/>
          <w:sz w:val="18"/>
        </w:rPr>
        <w:t>source = "buildflow-api"</w:t>
        <w:br/>
        <w:t>AND http.path = "/auth/session"</w:t>
        <w:br/>
        <w:t>AND http.status IN (401, 429)</w:t>
        <w:br/>
        <w:t>| stats count() AS tentatives BY client.ip, window(5m)</w:t>
        <w:br/>
        <w:t>| where tentatives &gt;= 20</w:t>
      </w:r>
    </w:p>
    <w:p>
      <w:pPr>
        <w:spacing w:before="200"/>
      </w:pPr>
      <w:r>
        <w:rPr>
          <w:b/>
          <w:sz w:val="23"/>
        </w:rPr>
        <w:t>3.3 Paramètres et niveaux</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984"/>
          </w:tcPr>
          <w:p>
            <w:r/>
            <w:r>
              <w:rPr>
                <w:b/>
                <w:sz w:val="19"/>
              </w:rPr>
              <w:t>Seuil</w:t>
            </w:r>
          </w:p>
        </w:tc>
        <w:tc>
          <w:tcPr>
            <w:tcW w:type="dxa" w:w="1701"/>
          </w:tcPr>
          <w:p>
            <w:r/>
            <w:r>
              <w:rPr>
                <w:b/>
                <w:sz w:val="19"/>
              </w:rPr>
              <w:t>Fenêtre</w:t>
            </w:r>
          </w:p>
        </w:tc>
        <w:tc>
          <w:tcPr>
            <w:tcW w:type="dxa" w:w="1701"/>
          </w:tcPr>
          <w:p>
            <w:r/>
            <w:r>
              <w:rPr>
                <w:b/>
                <w:sz w:val="19"/>
              </w:rPr>
              <w:t>Sévérité</w:t>
            </w:r>
          </w:p>
        </w:tc>
        <w:tc>
          <w:tcPr>
            <w:tcW w:type="dxa" w:w="3685"/>
          </w:tcPr>
          <w:p>
            <w:r/>
            <w:r>
              <w:rPr>
                <w:b/>
                <w:sz w:val="19"/>
              </w:rPr>
              <w:t>Action</w:t>
            </w:r>
          </w:p>
        </w:tc>
      </w:tr>
      <w:tr>
        <w:tc>
          <w:tcPr>
            <w:tcW w:type="dxa" w:w="1984"/>
          </w:tcPr>
          <w:p>
            <w:r/>
            <w:r>
              <w:rPr>
                <w:sz w:val="19"/>
              </w:rPr>
              <w:t>20 échecs</w:t>
            </w:r>
          </w:p>
        </w:tc>
        <w:tc>
          <w:tcPr>
            <w:tcW w:type="dxa" w:w="1701"/>
          </w:tcPr>
          <w:p>
            <w:r/>
            <w:r>
              <w:rPr>
                <w:sz w:val="19"/>
              </w:rPr>
              <w:t>5 minutes</w:t>
            </w:r>
          </w:p>
        </w:tc>
        <w:tc>
          <w:tcPr>
            <w:tcW w:type="dxa" w:w="1701"/>
          </w:tcPr>
          <w:p>
            <w:r/>
            <w:r>
              <w:rPr>
                <w:sz w:val="19"/>
              </w:rPr>
              <w:t>Moyenne</w:t>
            </w:r>
          </w:p>
        </w:tc>
        <w:tc>
          <w:tcPr>
            <w:tcW w:type="dxa" w:w="3685"/>
          </w:tcPr>
          <w:p>
            <w:r/>
            <w:r>
              <w:rPr>
                <w:sz w:val="19"/>
              </w:rPr>
              <w:t>Alerte au canal sécurité</w:t>
            </w:r>
          </w:p>
        </w:tc>
      </w:tr>
      <w:tr>
        <w:tc>
          <w:tcPr>
            <w:tcW w:type="dxa" w:w="1984"/>
          </w:tcPr>
          <w:p>
            <w:r/>
            <w:r>
              <w:rPr>
                <w:sz w:val="19"/>
              </w:rPr>
              <w:t>50 échecs</w:t>
            </w:r>
          </w:p>
        </w:tc>
        <w:tc>
          <w:tcPr>
            <w:tcW w:type="dxa" w:w="1701"/>
          </w:tcPr>
          <w:p>
            <w:r/>
            <w:r>
              <w:rPr>
                <w:sz w:val="19"/>
              </w:rPr>
              <w:t>5 minutes</w:t>
            </w:r>
          </w:p>
        </w:tc>
        <w:tc>
          <w:tcPr>
            <w:tcW w:type="dxa" w:w="1701"/>
          </w:tcPr>
          <w:p>
            <w:r/>
            <w:r>
              <w:rPr>
                <w:sz w:val="19"/>
              </w:rPr>
              <w:t>Haute</w:t>
            </w:r>
          </w:p>
        </w:tc>
        <w:tc>
          <w:tcPr>
            <w:tcW w:type="dxa" w:w="3685"/>
          </w:tcPr>
          <w:p>
            <w:r/>
            <w:r>
              <w:rPr>
                <w:sz w:val="19"/>
              </w:rPr>
              <w:t>Alerte + blocage IP 1 heure</w:t>
            </w:r>
          </w:p>
        </w:tc>
      </w:tr>
      <w:tr>
        <w:tc>
          <w:tcPr>
            <w:tcW w:type="dxa" w:w="1984"/>
          </w:tcPr>
          <w:p>
            <w:r/>
            <w:r>
              <w:rPr>
                <w:sz w:val="19"/>
              </w:rPr>
              <w:t>10 HTTP 429</w:t>
            </w:r>
          </w:p>
        </w:tc>
        <w:tc>
          <w:tcPr>
            <w:tcW w:type="dxa" w:w="1701"/>
          </w:tcPr>
          <w:p>
            <w:r/>
            <w:r>
              <w:rPr>
                <w:sz w:val="19"/>
              </w:rPr>
              <w:t>1 minute</w:t>
            </w:r>
          </w:p>
        </w:tc>
        <w:tc>
          <w:tcPr>
            <w:tcW w:type="dxa" w:w="1701"/>
          </w:tcPr>
          <w:p>
            <w:r/>
            <w:r>
              <w:rPr>
                <w:sz w:val="19"/>
              </w:rPr>
              <w:t>Haute</w:t>
            </w:r>
          </w:p>
        </w:tc>
        <w:tc>
          <w:tcPr>
            <w:tcW w:type="dxa" w:w="3685"/>
          </w:tcPr>
          <w:p>
            <w:r/>
            <w:r>
              <w:rPr>
                <w:sz w:val="19"/>
              </w:rPr>
              <w:t>Le limiteur est saturé : automate probable</w:t>
            </w:r>
          </w:p>
        </w:tc>
      </w:tr>
    </w:tbl>
    <w:p/>
    <w:p>
      <w:pPr>
        <w:spacing w:before="200"/>
      </w:pPr>
      <w:r>
        <w:rPr>
          <w:b/>
          <w:sz w:val="23"/>
        </w:rPr>
        <w:t>3.4 Réduction des faux positifs</w:t>
      </w:r>
    </w:p>
    <w:p>
      <w:pPr>
        <w:pStyle w:val="ListBullet"/>
      </w:pPr>
      <w:r>
        <w:t>Exclure les adresses des runners de CI, qui exécutent le parcours d'authentification à chaque exécution du job smoke-docker.</w:t>
      </w:r>
    </w:p>
    <w:p>
      <w:pPr>
        <w:pStyle w:val="ListBullet"/>
      </w:pPr>
      <w:r>
        <w:t>Un utilisateur qui se trompe trois fois de suite puis réussit ne doit pas alerter : la règle ne compte que les échecs consécutifs sans succès intercalé.</w:t>
      </w:r>
    </w:p>
    <w:p>
      <w:pPr>
        <w:pStyle w:val="ListBullet"/>
      </w:pPr>
      <w:r>
        <w:t>Distinguer 401 (identifiants refusés) de 429 (limiteur déclenché) : le second est un signal plus fort, un humain atteignant rarement dix blocages en une minute.</w:t>
      </w:r>
    </w:p>
    <w:p>
      <w:pPr>
        <w:spacing w:before="280"/>
      </w:pPr>
      <w:r>
        <w:rPr>
          <w:b/>
          <w:color w:val="1F4E79"/>
          <w:sz w:val="28"/>
        </w:rPr>
        <w:t>4. Règle 2 — Tentative d'accès non autorisé et jetons forgés</w:t>
      </w:r>
    </w:p>
    <w:p>
      <w:pPr>
        <w:spacing w:before="200"/>
      </w:pPr>
      <w:r>
        <w:rPr>
          <w:b/>
          <w:sz w:val="23"/>
        </w:rPr>
        <w:t>4.1 Justification</w:t>
      </w:r>
    </w:p>
    <w:p>
      <w:r>
        <w:rPr>
          <w:i w:val="0"/>
        </w:rPr>
        <w:t>Le critique C2 de l'audit démontrait qu'un jeton signé avec le secret publié dans le dépôt ouvrait /ncr et /audit/logs pour un compte inexistant. Le correctif rejette désormais ces jetons, mais une tentative reste le signe qu'un attaquant a lu le code source et cherche à s'en servir.</w:t>
      </w:r>
    </w:p>
    <w:p>
      <w:r>
        <w:rPr>
          <w:i w:val="0"/>
        </w:rPr>
        <w:t>Depuis le passage du guard en fail-closed, toute route non explicitement publique exige une authentification. Un balayage d'endpoints produit donc une série de 401 et de 403 caractéristique.</w:t>
      </w:r>
    </w:p>
    <w:p>
      <w:pPr>
        <w:spacing w:before="200"/>
      </w:pPr>
      <w:r>
        <w:rPr>
          <w:b/>
          <w:sz w:val="23"/>
        </w:rPr>
        <w:t>4.2 Condition de déclenchement</w:t>
      </w:r>
    </w:p>
    <w:p>
      <w:pPr>
        <w:spacing w:after="160"/>
        <w:ind w:left="283"/>
      </w:pPr>
      <w:r>
        <w:rPr>
          <w:rFonts w:ascii="Consolas" w:hAnsi="Consolas"/>
          <w:sz w:val="18"/>
        </w:rPr>
        <w:t>source = "buildflow-api"</w:t>
        <w:br/>
        <w:t>AND http.status IN (401, 403)</w:t>
        <w:br/>
        <w:t>AND http.path NOT IN ("/health", "/auth/config", "/auth/session")</w:t>
        <w:br/>
        <w:t>| stats dc(http.path) AS chemins, count() AS refus BY client.ip, window(10m)</w:t>
        <w:br/>
        <w:t>| where chemins &gt;= 5 OR refus &gt;= 30</w:t>
      </w:r>
    </w:p>
    <w:p>
      <w:pPr>
        <w:spacing w:before="200"/>
      </w:pPr>
      <w:r>
        <w:rPr>
          <w:b/>
          <w:sz w:val="23"/>
        </w:rPr>
        <w:t>4.3 Signaux aggravants</w:t>
      </w:r>
    </w:p>
    <w:tbl>
      <w:tblPr>
        <w:tblStyle w:val="LightGrid-Accent1"/>
        <w:tblW w:type="auto" w:w="0"/>
        <w:jc w:val="center"/>
        <w:tblLook w:firstColumn="1" w:firstRow="1" w:lastColumn="0" w:lastRow="0" w:noHBand="0" w:noVBand="1" w:val="04A0"/>
      </w:tblPr>
      <w:tblGrid>
        <w:gridCol w:w="3249"/>
        <w:gridCol w:w="3249"/>
        <w:gridCol w:w="3249"/>
      </w:tblGrid>
      <w:tr>
        <w:tc>
          <w:tcPr>
            <w:tcW w:type="dxa" w:w="3402"/>
          </w:tcPr>
          <w:p>
            <w:r/>
            <w:r>
              <w:rPr>
                <w:b/>
                <w:sz w:val="19"/>
              </w:rPr>
              <w:t>Observation</w:t>
            </w:r>
          </w:p>
        </w:tc>
        <w:tc>
          <w:tcPr>
            <w:tcW w:type="dxa" w:w="3969"/>
          </w:tcPr>
          <w:p>
            <w:r/>
            <w:r>
              <w:rPr>
                <w:b/>
                <w:sz w:val="19"/>
              </w:rPr>
              <w:t>Interprétation</w:t>
            </w:r>
          </w:p>
        </w:tc>
        <w:tc>
          <w:tcPr>
            <w:tcW w:type="dxa" w:w="1701"/>
          </w:tcPr>
          <w:p>
            <w:r/>
            <w:r>
              <w:rPr>
                <w:b/>
                <w:sz w:val="19"/>
              </w:rPr>
              <w:t>Sévérité</w:t>
            </w:r>
          </w:p>
        </w:tc>
      </w:tr>
      <w:tr>
        <w:tc>
          <w:tcPr>
            <w:tcW w:type="dxa" w:w="3402"/>
          </w:tcPr>
          <w:p>
            <w:r/>
            <w:r>
              <w:rPr>
                <w:sz w:val="19"/>
              </w:rPr>
              <w:t>403 « MFA requis » répétés</w:t>
            </w:r>
          </w:p>
        </w:tc>
        <w:tc>
          <w:tcPr>
            <w:tcW w:type="dxa" w:w="3969"/>
          </w:tcPr>
          <w:p>
            <w:r/>
            <w:r>
              <w:rPr>
                <w:sz w:val="19"/>
              </w:rPr>
              <w:t>Jeton valide sans validation MFA — vol de session possible</w:t>
            </w:r>
          </w:p>
        </w:tc>
        <w:tc>
          <w:tcPr>
            <w:tcW w:type="dxa" w:w="1701"/>
          </w:tcPr>
          <w:p>
            <w:r/>
            <w:r>
              <w:rPr>
                <w:sz w:val="19"/>
              </w:rPr>
              <w:t>Haute</w:t>
            </w:r>
          </w:p>
        </w:tc>
      </w:tr>
      <w:tr>
        <w:tc>
          <w:tcPr>
            <w:tcW w:type="dxa" w:w="3402"/>
          </w:tcPr>
          <w:p>
            <w:r/>
            <w:r>
              <w:rPr>
                <w:sz w:val="19"/>
              </w:rPr>
              <w:t>401 sur /audit/logs</w:t>
            </w:r>
          </w:p>
        </w:tc>
        <w:tc>
          <w:tcPr>
            <w:tcW w:type="dxa" w:w="3969"/>
          </w:tcPr>
          <w:p>
            <w:r/>
            <w:r>
              <w:rPr>
                <w:sz w:val="19"/>
              </w:rPr>
              <w:t>Tentative d'accès au journal probatoire</w:t>
            </w:r>
          </w:p>
        </w:tc>
        <w:tc>
          <w:tcPr>
            <w:tcW w:type="dxa" w:w="1701"/>
          </w:tcPr>
          <w:p>
            <w:r/>
            <w:r>
              <w:rPr>
                <w:sz w:val="19"/>
              </w:rPr>
              <w:t>Critique</w:t>
            </w:r>
          </w:p>
        </w:tc>
      </w:tr>
      <w:tr>
        <w:tc>
          <w:tcPr>
            <w:tcW w:type="dxa" w:w="3402"/>
          </w:tcPr>
          <w:p>
            <w:r/>
            <w:r>
              <w:rPr>
                <w:sz w:val="19"/>
              </w:rPr>
              <w:t>Découverte de plus de 5 chemins distincts</w:t>
            </w:r>
          </w:p>
        </w:tc>
        <w:tc>
          <w:tcPr>
            <w:tcW w:type="dxa" w:w="3969"/>
          </w:tcPr>
          <w:p>
            <w:r/>
            <w:r>
              <w:rPr>
                <w:sz w:val="19"/>
              </w:rPr>
              <w:t>Balayage automatisé de l'API</w:t>
            </w:r>
          </w:p>
        </w:tc>
        <w:tc>
          <w:tcPr>
            <w:tcW w:type="dxa" w:w="1701"/>
          </w:tcPr>
          <w:p>
            <w:r/>
            <w:r>
              <w:rPr>
                <w:sz w:val="19"/>
              </w:rPr>
              <w:t>Haute</w:t>
            </w:r>
          </w:p>
        </w:tc>
      </w:tr>
      <w:tr>
        <w:tc>
          <w:tcPr>
            <w:tcW w:type="dxa" w:w="3402"/>
          </w:tcPr>
          <w:p>
            <w:r/>
            <w:r>
              <w:rPr>
                <w:sz w:val="19"/>
              </w:rPr>
              <w:t>403 « Rôle insuffisant » depuis un compte légitime</w:t>
            </w:r>
          </w:p>
        </w:tc>
        <w:tc>
          <w:tcPr>
            <w:tcW w:type="dxa" w:w="3969"/>
          </w:tcPr>
          <w:p>
            <w:r/>
            <w:r>
              <w:rPr>
                <w:sz w:val="19"/>
              </w:rPr>
              <w:t>Élévation de privilèges tentée</w:t>
            </w:r>
          </w:p>
        </w:tc>
        <w:tc>
          <w:tcPr>
            <w:tcW w:type="dxa" w:w="1701"/>
          </w:tcPr>
          <w:p>
            <w:r/>
            <w:r>
              <w:rPr>
                <w:sz w:val="19"/>
              </w:rPr>
              <w:t>Haute</w:t>
            </w:r>
          </w:p>
        </w:tc>
      </w:tr>
    </w:tbl>
    <w:p/>
    <w:p>
      <w:pPr>
        <w:spacing w:before="200"/>
      </w:pPr>
      <w:r>
        <w:rPr>
          <w:b/>
          <w:sz w:val="23"/>
        </w:rPr>
        <w:t>4.4 Réduction des faux positifs</w:t>
      </w:r>
    </w:p>
    <w:p>
      <w:pPr>
        <w:pStyle w:val="ListBullet"/>
      </w:pPr>
      <w:r>
        <w:t>L'interface web déclenche un 401 légitime à l'expiration d'un jeton (24 heures) : un 401 isolé suivi d'une authentification réussie doit être ignoré.</w:t>
      </w:r>
    </w:p>
    <w:p>
      <w:pPr>
        <w:pStyle w:val="ListBullet"/>
      </w:pPr>
      <w:r>
        <w:t>Le job smoke-docker de la CI vérifie délibérément qu'une route protégée répond 401 — exclure ses adresses.</w:t>
      </w:r>
    </w:p>
    <w:p>
      <w:pPr>
        <w:spacing w:before="280"/>
      </w:pPr>
      <w:r>
        <w:rPr>
          <w:b/>
          <w:color w:val="1F4E79"/>
          <w:sz w:val="28"/>
        </w:rPr>
        <w:t>5. Règle 3 — Atteinte à l'intégrité du journal d'audit</w:t>
      </w:r>
    </w:p>
    <w:p>
      <w:pPr>
        <w:spacing w:before="200"/>
      </w:pPr>
      <w:r>
        <w:rPr>
          <w:b/>
          <w:sz w:val="23"/>
        </w:rPr>
        <w:t>5.1 Justification</w:t>
      </w:r>
    </w:p>
    <w:p>
      <w:r>
        <w:rPr>
          <w:i w:val="0"/>
        </w:rPr>
        <w:t>Le journal d'audit est chaîné par hachage SHA-256 : chaque entrée intègre l'empreinte de la précédente. Une modification rétroactive rompt la chaîne, ce que la méthode verifyChain() détecte.</w:t>
      </w:r>
    </w:p>
    <w:p>
      <w:r>
        <w:rPr>
          <w:i w:val="0"/>
        </w:rPr>
        <w:t>Cette règle est la plus importante des trois : elle porte sur la valeur probatoire du produit. Un journal altéré sans détection retirerait toute portée juridique aux constats.</w:t>
      </w:r>
    </w:p>
    <w:p>
      <w:pPr>
        <w:spacing w:before="200"/>
      </w:pPr>
      <w:r>
        <w:rPr>
          <w:b/>
          <w:sz w:val="23"/>
        </w:rPr>
        <w:t>5.2 Condition de déclenchement</w:t>
      </w:r>
    </w:p>
    <w:p>
      <w:pPr>
        <w:spacing w:after="160"/>
        <w:ind w:left="283"/>
      </w:pPr>
      <w:r>
        <w:rPr>
          <w:rFonts w:ascii="Consolas" w:hAnsi="Consolas"/>
          <w:sz w:val="18"/>
        </w:rPr>
        <w:t>source = "buildflow-api"</w:t>
        <w:br/>
        <w:t>AND (</w:t>
        <w:br/>
        <w:t xml:space="preserve">  event = "audit.chain.invalid"</w:t>
        <w:br/>
        <w:t xml:space="preserve">  OR (http.path = "/audit/verify" AND response.valid = false)</w:t>
        <w:br/>
        <w:t>)</w:t>
        <w:br/>
        <w:t>| severity = CRITICAL</w:t>
      </w:r>
    </w:p>
    <w:p>
      <w:r>
        <w:rPr>
          <w:i w:val="0"/>
        </w:rPr>
        <w:t>Contrôle complémentaire, planifié toutes les heures :</w:t>
      </w:r>
    </w:p>
    <w:p>
      <w:pPr>
        <w:spacing w:after="160"/>
        <w:ind w:left="283"/>
      </w:pPr>
      <w:r>
        <w:rPr>
          <w:rFonts w:ascii="Consolas" w:hAnsi="Consolas"/>
          <w:sz w:val="18"/>
        </w:rPr>
        <w:t>GET /audit/verify  →  { "valid": true, "entries": N }</w:t>
        <w:br/>
        <w:t>Alerte si valid = false, ou si N décroît entre deux relevés.</w:t>
      </w:r>
    </w:p>
    <w:p>
      <w:pPr>
        <w:spacing w:before="200"/>
      </w:pPr>
      <w:r>
        <w:rPr>
          <w:b/>
          <w:sz w:val="23"/>
        </w:rPr>
        <w:t>5.3 Limite connue, à énoncer devant le jury</w:t>
      </w:r>
    </w:p>
    <w:p>
      <w:r>
        <w:rPr>
          <w:i w:val="0"/>
        </w:rPr>
        <w:t>La chaîne est construite avec un SHA-256 sans clé secrète. Elle détecte une corruption accidentelle, mais un attaquant capable d'écrire dans le fichier peut recalculer l'ensemble des empreintes suivantes : verifyChain() répondrait alors valid = true.</w:t>
      </w:r>
    </w:p>
    <w:p>
      <w:r>
        <w:rPr>
          <w:i w:val="0"/>
        </w:rPr>
        <w:t>Deux remédiations, par ordre de coût croissant : remplacer le hachage par un HMAC à clé serveur, la clé n'étant pas dans le fichier ; ou ancrer périodiquement l'empreinte de tête dans le bucket WORM, déjà configuré en Object Lock COMPLIANCE.</w:t>
      </w:r>
    </w:p>
    <w:p>
      <w:r>
        <w:rPr>
          <w:i w:val="0"/>
        </w:rPr>
        <w:t>Second point : le fichier data/audit-log.jsonl n'est monté sur aucun volume Docker. Il est détruit à chaque reconstruction de l'image — vérifié, la chaîne repart de GENESIS. La règle doit donc surveiller également une réinitialisation inattendue du compteur d'entrées.</w:t>
      </w:r>
    </w:p>
    <w:p>
      <w:pPr>
        <w:spacing w:before="280"/>
      </w:pPr>
      <w:r>
        <w:rPr>
          <w:b/>
          <w:color w:val="1F4E79"/>
          <w:sz w:val="28"/>
        </w:rPr>
        <w:t>6. Synthèse de mise en œuvre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551"/>
          </w:tcPr>
          <w:p>
            <w:r/>
            <w:r>
              <w:rPr>
                <w:b/>
                <w:sz w:val="19"/>
              </w:rPr>
              <w:t>Règle</w:t>
            </w:r>
          </w:p>
        </w:tc>
        <w:tc>
          <w:tcPr>
            <w:tcW w:type="dxa" w:w="2551"/>
          </w:tcPr>
          <w:p>
            <w:r/>
            <w:r>
              <w:rPr>
                <w:b/>
                <w:sz w:val="19"/>
              </w:rPr>
              <w:t>Source</w:t>
            </w:r>
          </w:p>
        </w:tc>
        <w:tc>
          <w:tcPr>
            <w:tcW w:type="dxa" w:w="1701"/>
          </w:tcPr>
          <w:p>
            <w:r/>
            <w:r>
              <w:rPr>
                <w:b/>
                <w:sz w:val="19"/>
              </w:rPr>
              <w:t>Sévérité max</w:t>
            </w:r>
          </w:p>
        </w:tc>
        <w:tc>
          <w:tcPr>
            <w:tcW w:type="dxa" w:w="2268"/>
          </w:tcPr>
          <w:p>
            <w:r/>
            <w:r>
              <w:rPr>
                <w:b/>
                <w:sz w:val="19"/>
              </w:rPr>
              <w:t>Prérequis</w:t>
            </w:r>
          </w:p>
        </w:tc>
      </w:tr>
      <w:tr>
        <w:tc>
          <w:tcPr>
            <w:tcW w:type="dxa" w:w="2551"/>
          </w:tcPr>
          <w:p>
            <w:r/>
            <w:r>
              <w:rPr>
                <w:sz w:val="19"/>
              </w:rPr>
              <w:t>1 — Force brute</w:t>
            </w:r>
          </w:p>
        </w:tc>
        <w:tc>
          <w:tcPr>
            <w:tcW w:type="dxa" w:w="2551"/>
          </w:tcPr>
          <w:p>
            <w:r/>
            <w:r>
              <w:rPr>
                <w:sz w:val="19"/>
              </w:rPr>
              <w:t>Journal applicatif</w:t>
            </w:r>
          </w:p>
        </w:tc>
        <w:tc>
          <w:tcPr>
            <w:tcW w:type="dxa" w:w="1701"/>
          </w:tcPr>
          <w:p>
            <w:r/>
            <w:r>
              <w:rPr>
                <w:sz w:val="19"/>
              </w:rPr>
              <w:t>Haute</w:t>
            </w:r>
          </w:p>
        </w:tc>
        <w:tc>
          <w:tcPr>
            <w:tcW w:type="dxa" w:w="2268"/>
          </w:tcPr>
          <w:p>
            <w:r/>
            <w:r>
              <w:rPr>
                <w:sz w:val="19"/>
              </w:rPr>
              <w:t>Aucun (en place)</w:t>
            </w:r>
          </w:p>
        </w:tc>
      </w:tr>
      <w:tr>
        <w:tc>
          <w:tcPr>
            <w:tcW w:type="dxa" w:w="2551"/>
          </w:tcPr>
          <w:p>
            <w:r/>
            <w:r>
              <w:rPr>
                <w:sz w:val="19"/>
              </w:rPr>
              <w:t>2 — Accès non autorisé</w:t>
            </w:r>
          </w:p>
        </w:tc>
        <w:tc>
          <w:tcPr>
            <w:tcW w:type="dxa" w:w="2551"/>
          </w:tcPr>
          <w:p>
            <w:r/>
            <w:r>
              <w:rPr>
                <w:sz w:val="19"/>
              </w:rPr>
              <w:t>Journal applicatif</w:t>
            </w:r>
          </w:p>
        </w:tc>
        <w:tc>
          <w:tcPr>
            <w:tcW w:type="dxa" w:w="1701"/>
          </w:tcPr>
          <w:p>
            <w:r/>
            <w:r>
              <w:rPr>
                <w:sz w:val="19"/>
              </w:rPr>
              <w:t>Critique</w:t>
            </w:r>
          </w:p>
        </w:tc>
        <w:tc>
          <w:tcPr>
            <w:tcW w:type="dxa" w:w="2268"/>
          </w:tcPr>
          <w:p>
            <w:r/>
            <w:r>
              <w:rPr>
                <w:sz w:val="19"/>
              </w:rPr>
              <w:t>Aucun (en place)</w:t>
            </w:r>
          </w:p>
        </w:tc>
      </w:tr>
      <w:tr>
        <w:tc>
          <w:tcPr>
            <w:tcW w:type="dxa" w:w="2551"/>
          </w:tcPr>
          <w:p>
            <w:r/>
            <w:r>
              <w:rPr>
                <w:sz w:val="19"/>
              </w:rPr>
              <w:t>3 — Intégrité de l'audit</w:t>
            </w:r>
          </w:p>
        </w:tc>
        <w:tc>
          <w:tcPr>
            <w:tcW w:type="dxa" w:w="2551"/>
          </w:tcPr>
          <w:p>
            <w:r/>
            <w:r>
              <w:rPr>
                <w:sz w:val="19"/>
              </w:rPr>
              <w:t>GET /audit/verify</w:t>
            </w:r>
          </w:p>
        </w:tc>
        <w:tc>
          <w:tcPr>
            <w:tcW w:type="dxa" w:w="1701"/>
          </w:tcPr>
          <w:p>
            <w:r/>
            <w:r>
              <w:rPr>
                <w:sz w:val="19"/>
              </w:rPr>
              <w:t>Critique</w:t>
            </w:r>
          </w:p>
        </w:tc>
        <w:tc>
          <w:tcPr>
            <w:tcW w:type="dxa" w:w="2268"/>
          </w:tcPr>
          <w:p>
            <w:r/>
            <w:r>
              <w:rPr>
                <w:sz w:val="19"/>
              </w:rPr>
              <w:t>Sonde horaire à planifier</w:t>
            </w:r>
          </w:p>
        </w:tc>
      </w:tr>
    </w:tbl>
    <w:p/>
    <w:p>
      <w:r>
        <w:rPr>
          <w:i/>
        </w:rPr>
        <w:t>Les règles 1 et 2 sont exploitables immédiatement : elles ne consomment que des journaux déjà produits. La règle 3 requiert un ordonnanceur appelant /audit/verify, seul élément restant à mettre en place.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