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Support de soutenance — Trame détaillée</w:t>
      </w:r>
    </w:p>
    <w:p>
      <w:r>
        <w:rPr>
          <w:color w:val="555555"/>
          <w:sz w:val="24"/>
        </w:rPr>
        <w:t>BuildFlow — Structure, contenus et conduite de la démonstration</w:t>
      </w:r>
    </w:p>
    <w:p>
      <w:r>
        <w:rPr>
          <w:i/>
          <w:color w:val="555555"/>
          <w:sz w:val="18"/>
        </w:rPr>
        <w:t>Livrable 3 · Palier 3 — Clôture · Version 1.0 — 1er août 2026</w:t>
      </w:r>
    </w:p>
    <w:p/>
    <w:p>
      <w:pPr>
        <w:spacing w:before="280"/>
      </w:pPr>
      <w:r>
        <w:rPr>
          <w:b/>
          <w:color w:val="1F4E79"/>
          <w:sz w:val="28"/>
        </w:rPr>
        <w:t>1. Principe directeur</w:t>
      </w:r>
    </w:p>
    <w:p>
      <w:r>
        <w:rPr>
          <w:i w:val="0"/>
        </w:rPr>
        <w:t>Une soutenance se gagne rarement sur ce qu'on montre, souvent sur ce qu'on assume. Le projet a fait l'objet d'un audit technique qui a relevé des écarts réels entre ce qui était annoncé et ce qui était livré. La plupart ont été corrigés, avec des preuves vérifiables ; ceux qui subsistent sont documentés.</w:t>
      </w:r>
    </w:p>
    <w:p>
      <w:r>
        <w:rPr>
          <w:i/>
        </w:rPr>
        <w:t>La trame ci-dessous repose sur ce parti pris : énoncer soi-même les limites, chiffres à l'appui, plutôt que se les faire trouver.</w:t>
      </w:r>
    </w:p>
    <w:p>
      <w:pPr>
        <w:spacing w:before="280"/>
      </w:pPr>
      <w:r>
        <w:rPr>
          <w:b/>
          <w:color w:val="1F4E79"/>
          <w:sz w:val="28"/>
        </w:rPr>
        <w:t>2. Structure — 20 minutes de présentation, 10 de questions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Séquence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Durée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Objectif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Le problème métier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Ancrer le besoin avant la technique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L'architecture livrée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 min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Montrer les choix, y compris ceux assumés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Démonstration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 min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Le cœur : parcours terrain complet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Qualité et sécurité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 min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Les preuves, pas les intentions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Ce qui reste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Lucidité et trajectoire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Questions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pPr>
        <w:spacing w:before="280"/>
      </w:pPr>
      <w:r>
        <w:rPr>
          <w:b/>
          <w:color w:val="1F4E79"/>
          <w:sz w:val="28"/>
        </w:rPr>
        <w:t>3. Contenu diapositive par diapositive</w:t>
      </w:r>
    </w:p>
    <w:p>
      <w:pPr>
        <w:spacing w:before="200"/>
      </w:pPr>
      <w:r>
        <w:rPr>
          <w:b/>
          <w:sz w:val="23"/>
        </w:rPr>
        <w:t>Diapositive 1 — Titre</w:t>
      </w:r>
    </w:p>
    <w:p>
      <w:pPr>
        <w:pStyle w:val="ListBullet"/>
      </w:pPr>
      <w:r>
        <w:t>BuildFlow — Qualité et sécurité de chantier, du terrain à la preuve</w:t>
      </w:r>
    </w:p>
    <w:p>
      <w:pPr>
        <w:pStyle w:val="ListBullet"/>
      </w:pPr>
      <w:r>
        <w:t>Noms, formation, date de soutenance</w:t>
      </w:r>
    </w:p>
    <w:p>
      <w:pPr>
        <w:spacing w:before="200"/>
      </w:pPr>
      <w:r>
        <w:rPr>
          <w:b/>
          <w:sz w:val="23"/>
        </w:rPr>
        <w:t>Diapositives 2 et 3 — Le problème métier</w:t>
      </w:r>
    </w:p>
    <w:p>
      <w:r>
        <w:rPr>
          <w:i w:val="0"/>
        </w:rPr>
        <w:t>Message : sur un chantier, un défaut constaté et non tracé devient un litige six mois plus tard. Le besoin n'est pas de saisir des formulaires, mais de prouver qu'un défaut a été vu, traité et clos.</w:t>
      </w:r>
    </w:p>
    <w:p>
      <w:pPr>
        <w:pStyle w:val="ListBullet"/>
      </w:pPr>
      <w:r>
        <w:t>Le constat naît sur le terrain, souvent sans réseau — d'où l'offline-first</w:t>
      </w:r>
    </w:p>
    <w:p>
      <w:pPr>
        <w:pStyle w:val="ListBullet"/>
      </w:pPr>
      <w:r>
        <w:t>Il doit être horodaté, géolocalisé, photographié</w:t>
      </w:r>
    </w:p>
    <w:p>
      <w:pPr>
        <w:pStyle w:val="ListBullet"/>
      </w:pPr>
      <w:r>
        <w:t>La preuve doit être inaltérable pour avoir une valeur en cas de litige</w:t>
      </w:r>
    </w:p>
    <w:p>
      <w:r>
        <w:rPr>
          <w:i/>
        </w:rPr>
        <w:t>Visuel suggéré : une photo de chantier, et le cycle OPEN → IN_PROGRESS → RESOLVED → CLOSED.</w:t>
      </w:r>
    </w:p>
    <w:p>
      <w:pPr>
        <w:spacing w:before="200"/>
      </w:pPr>
      <w:r>
        <w:rPr>
          <w:b/>
          <w:sz w:val="23"/>
        </w:rPr>
        <w:t>Diapositive 4 — Architecture</w:t>
      </w:r>
    </w:p>
    <w:p>
      <w:r>
        <w:rPr>
          <w:i w:val="0"/>
        </w:rPr>
        <w:t>Message : présenter l'architecture réelle, pas celle du schéma initial.</w:t>
      </w:r>
    </w:p>
    <w:p>
      <w:pPr>
        <w:pStyle w:val="ListBullet"/>
      </w:pPr>
      <w:r>
        <w:t>Application mobile Flutter, offline-first, base SQLite locale et file de synchronisation</w:t>
      </w:r>
    </w:p>
    <w:p>
      <w:pPr>
        <w:pStyle w:val="ListBullet"/>
      </w:pPr>
      <w:r>
        <w:t>API NestJS — monolithe modulaire, découpage interne prêt pour extraction</w:t>
      </w:r>
    </w:p>
    <w:p>
      <w:pPr>
        <w:pStyle w:val="ListBullet"/>
      </w:pPr>
      <w:r>
        <w:t>PostgreSQL, RabbitMQ pour les événements, MinIO en Object Lock pour les preuves</w:t>
      </w:r>
    </w:p>
    <w:p>
      <w:pPr>
        <w:pStyle w:val="ListBullet"/>
      </w:pPr>
      <w:r>
        <w:t>Back-office Next.js</w:t>
      </w:r>
    </w:p>
    <w:p>
      <w:r>
        <w:rPr>
          <w:i/>
        </w:rPr>
        <w:t>Point à assumer : les répertoires services/{hse,identity,ncr,reporting}-service ne contiennent qu'un README. C'est un monolithe modulaire, choix parfaitement défendable à ce stade de maturité — et bien plus solide qu'une topologie de microservices annoncée mais absente. Un jury qui ouvre le dépôt le verra en quinze secondes.</w:t>
      </w:r>
    </w:p>
    <w:p>
      <w:pPr>
        <w:spacing w:before="200"/>
      </w:pPr>
      <w:r>
        <w:rPr>
          <w:b/>
          <w:sz w:val="23"/>
        </w:rPr>
        <w:t>Diapositives 5 à 9 — Démonstration</w:t>
      </w:r>
    </w:p>
    <w:p>
      <w:r>
        <w:rPr>
          <w:i w:val="0"/>
        </w:rPr>
        <w:t>C'est le cœur. Répéter le parcours au moins deux fois avant le jour J, et prévoir des captures de secours en cas de panne réseau.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/>
            <w:r>
              <w:rPr>
                <w:b/>
                <w:sz w:val="19"/>
              </w:rPr>
              <w:t>Étape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Ce qu'on montre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Ce qu'on dit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Connexion web, mot de passe puis code MFA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Les comptes sont en base, mots de passe hachés en argon2id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Ouverture d'un chantier, liste NCR filtrée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Le filtrage est fait en SQL, pas après coup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Saisie mobile hors ligne, photo et GPS réels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Mode avion : le constat est enregistré localement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Retour du réseau, synchronisation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Le constat devient une NCR côté serveur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La NCR apparaît sur le web sans rechargement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Rafraîchissement automatique toutes les 5 secondes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Fiche NCR : la photo prise sur le chantier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Elle a été scellée, voici la commande qui le prouve</w:t>
            </w:r>
          </w:p>
        </w:tc>
      </w:tr>
    </w:tbl>
    <w:p/>
    <w:p>
      <w:r>
        <w:rPr>
          <w:i w:val="0"/>
        </w:rPr>
        <w:t>Moment fort — la preuve WORM. Après avoir affiché la photo, basculer sur un terminal 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aws s3api get-object-retention \</w:t>
        <w:br/>
        <w:t xml:space="preserve">  --bucket buildflow-worm-evidences --key &lt;cle&gt;</w:t>
        <w:br/>
        <w:br/>
        <w:t>{ "Retention": { "Mode": "COMPLIANCE",</w:t>
        <w:br/>
        <w:t xml:space="preserve">                 "RetainUntilDate": "2027-…" } }</w:t>
      </w:r>
    </w:p>
    <w:p>
      <w:r>
        <w:rPr>
          <w:i/>
        </w:rPr>
        <w:t>C'est MinIO qui répond, pas l'application : l'objet est immuable pendant un an, personne ne peut le supprimer. Cette bascule vers le terminal transforme une affirmation en démonstration.</w:t>
      </w:r>
    </w:p>
    <w:p>
      <w:pPr>
        <w:spacing w:before="200"/>
      </w:pPr>
      <w:r>
        <w:rPr>
          <w:b/>
          <w:sz w:val="23"/>
        </w:rPr>
        <w:t>Diapositive 10 — Qualité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Indicateur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Valeur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9"/>
              </w:rPr>
              <w:t>Commentaire à porter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Tests automatisés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82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54 avant les correctifs du Livrable 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Couverture réelle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46 %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Mesurée sur le code déployé, périmètre corrigé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Lint et compilation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Sans erreur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Bloquants en CI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Vulnérabilités critiques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Bloquant en CI ; 16 « high » transitives documentées</w:t>
            </w:r>
          </w:p>
        </w:tc>
      </w:tr>
    </w:tbl>
    <w:p/>
    <w:p>
      <w:r>
        <w:rPr>
          <w:i/>
        </w:rPr>
        <w:t>Point à assumer : la couverture affichait 77 % avant. Le périmètre mesuré excluait services/api-gateway, c'est-à-dire l'application déployée. Nous l'avons corrigé, le chiffre a chuté, et nous l'avons gardé — un indicateur qui flatte ne sert à rien.</w:t>
      </w:r>
    </w:p>
    <w:p>
      <w:pPr>
        <w:spacing w:before="200"/>
      </w:pPr>
      <w:r>
        <w:rPr>
          <w:b/>
          <w:sz w:val="23"/>
        </w:rPr>
        <w:t>Diapositive 11 — Sécurité</w:t>
      </w:r>
    </w:p>
    <w:p>
      <w:r>
        <w:rPr>
          <w:i w:val="0"/>
        </w:rPr>
        <w:t>Message : trois vulnérabilités critiques ont été identifiées puis fermées, avec une preuve de non-régression pour chacune.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Faille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Avant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Après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Secret JWT publié dans le dépôt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Jeton forgé → 200 sur /ncr et /audit/logs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401, et l'API refuse de démarrer sans secret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Comptes et mots de passe en clair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4 comptes en mémoire, comparaison en clair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Base + argon2id, 10 tentatives/min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Guard fail-open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/reporting/kpi accessible sans en-tête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Authentification exigée par défaut</w:t>
            </w:r>
          </w:p>
        </w:tc>
      </w:tr>
    </w:tbl>
    <w:p/>
    <w:p>
      <w:r>
        <w:rPr>
          <w:i/>
        </w:rPr>
        <w:t>Formulation suggérée : « Le guard laissait passer toute route dépourvue de décorateur. Ce n'était pas un oubli isolé, c'était le comportement par défaut. Nous avons inversé le défaut : une route non marquée est désormais protégée. »</w:t>
      </w:r>
    </w:p>
    <w:p>
      <w:pPr>
        <w:spacing w:before="200"/>
      </w:pPr>
      <w:r>
        <w:rPr>
          <w:b/>
          <w:sz w:val="23"/>
        </w:rPr>
        <w:t>Diapositive 12 — Ce qui reste</w:t>
      </w:r>
    </w:p>
    <w:p>
      <w:r>
        <w:rPr>
          <w:i w:val="0"/>
        </w:rPr>
        <w:t>Message : lucidité. Reprendre la matrice Effort/Impact.</w:t>
      </w:r>
    </w:p>
    <w:p>
      <w:pPr>
        <w:pStyle w:val="ListBullet"/>
      </w:pPr>
      <w:r>
        <w:t>Chaîne d'audit à sceller par HMAC — 2 jours, le meilleur rapport</w:t>
      </w:r>
    </w:p>
    <w:p>
      <w:pPr>
        <w:pStyle w:val="ListBullet"/>
      </w:pPr>
      <w:r>
        <w:t>MFA par TOTP réel — le code est encore constant, nous le disons</w:t>
      </w:r>
    </w:p>
    <w:p>
      <w:pPr>
        <w:pStyle w:val="ListBullet"/>
      </w:pPr>
      <w:r>
        <w:t>Chiffrement de la base mobile — enjeu RGPD identifié dans le DPIA</w:t>
      </w:r>
    </w:p>
    <w:p>
      <w:r>
        <w:rPr>
          <w:i/>
        </w:rPr>
        <w:t>Formulation suggérée : « Trois réserves subsistent. Elles sont chiffrées, séquencées, et représentent neuf jours. Nous préférons les énoncer que les découvrir en production. »</w:t>
      </w:r>
    </w:p>
    <w:p>
      <w:pPr>
        <w:spacing w:before="280"/>
      </w:pPr>
      <w:r>
        <w:rPr>
          <w:b/>
          <w:color w:val="1F4E79"/>
          <w:sz w:val="28"/>
        </w:rPr>
        <w:t>4. Questions à préparer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</w:tcPr>
          <w:p>
            <w:r/>
            <w:r>
              <w:rPr>
                <w:b/>
                <w:sz w:val="19"/>
              </w:rPr>
              <w:t>Question probable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9"/>
              </w:rPr>
              <w:t>Axe de réponse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Pourquoi pas de vrais microservices ?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Choix assumé de monolithe modulaire ; découpage interne prêt ; extraction sans bénéfice fonctionnel à ce stade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Vos journaux sont-ils vraiment inaltérables ?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Non, pas encore. Chaîne SHA-256 sans clé : détecte l'accident, pas la falsification. Remédiation chiffrée à 2 jours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Que se passe-t-il si deux personnes modifient la même NCR ?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Dernier-écrivain-gagne avec statut CONFLICT exposé ; interface d'arbitrage prévue en V2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Comment gérez-vous le RGPD sur la géolocalisation ?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Extrait DPIA rédigé ; risque de surveillance détournée identifié, aucun écran n'agrège les positions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Votre couverture de tests est faible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46 % sur le périmètre réel. Elle affichait 77 % sur un périmètre qui excluait le code déployé. Nous avons préféré le chiffre juste</w:t>
            </w:r>
          </w:p>
        </w:tc>
      </w:tr>
    </w:tbl>
    <w:p/>
    <w:p>
      <w:pPr>
        <w:spacing w:before="280"/>
      </w:pPr>
      <w:r>
        <w:rPr>
          <w:b/>
          <w:color w:val="1F4E79"/>
          <w:sz w:val="28"/>
        </w:rPr>
        <w:t>5. Conduite de la démonstration</w:t>
      </w:r>
    </w:p>
    <w:p>
      <w:pPr>
        <w:pStyle w:val="ListBullet"/>
      </w:pPr>
      <w:r>
        <w:t>Reconstruire l'image la veille : docker compose build --no-cache api</w:t>
      </w:r>
    </w:p>
    <w:p>
      <w:pPr>
        <w:pStyle w:val="ListBullet"/>
      </w:pPr>
      <w:r>
        <w:t>Vérifier que JWT_SECRET est présent dans .env, sinon la stack refuse de démarrer — c'est voulu</w:t>
      </w:r>
    </w:p>
    <w:p>
      <w:pPr>
        <w:pStyle w:val="ListBullet"/>
      </w:pPr>
      <w:r>
        <w:t>Libérer le port 80 si la terminaison TLS doit être montrée</w:t>
      </w:r>
    </w:p>
    <w:p>
      <w:pPr>
        <w:pStyle w:val="ListBullet"/>
      </w:pPr>
      <w:r>
        <w:t>Sur mobile, faire flutter clean avant de reconstruire : un APK périmé survit à un build raté</w:t>
      </w:r>
    </w:p>
    <w:p>
      <w:pPr>
        <w:pStyle w:val="ListBullet"/>
      </w:pPr>
      <w:r>
        <w:t>Préparer des captures d'écran de secours pour chaque étape de la démonstration</w:t>
      </w:r>
    </w:p>
    <w:p>
      <w:pPr>
        <w:pStyle w:val="ListBullet"/>
      </w:pPr>
      <w:r>
        <w:t>Comptes : chef@, qse@, direction@, admin@buildflow.io — mot de passe password, code MFA 123456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