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1a8k3lo41sg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Email Networking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continue to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Acme Corp's CFO recently received several suspicious emails.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must analyze the header records of the suspicious emails and document several data points.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https://uci.bootcampcontent.com/UCI-Coding-Bootcamp/UCI-VIRT-CYBER-PT-03-2022-U-LOL/-/tree/main/09-Networking-Fundamentals-II-and-CTF-Review/2/Activities/06_Email_Networking/unsolved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iw7emz6ph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Open the suspicious emails provided. For each, determine the following data points: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Delivered-To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juliejones@acme.com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Return-Path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jonathanthomas@microsoft.com&gt;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 address of source domain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40.76.4.15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Message-ID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2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green"/>
          <w:rtl w:val="0"/>
        </w:rPr>
        <w:t xml:space="preserve">1689837351.2998569.1568044304435@mail.microsoft.com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9-Networking-Fundamentals-II-and-CTF-Review/2/Activities/06_Email_Networking/unsolv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