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hyperlink w:anchor="Xe3d0fc0bea9a42ce7605565d0964033d7f6ee47">
        <w:r>
          <w:rPr>
            <w:rStyle w:val="Hyperlink"/>
          </w:rPr>
          <w:t xml:space="preserve">1. Introduction</w:t>
        </w:r>
      </w:hyperlink>
    </w:p>
    <w:p>
      <w:pPr>
        <w:numPr>
          <w:ilvl w:val="0"/>
          <w:numId w:val="1001"/>
        </w:numPr>
        <w:pStyle w:val="Compact"/>
      </w:pPr>
      <w:hyperlink w:anchor="Xa282ba147a91dc7c09a7a699f278242e8ecdbf2">
        <w:r>
          <w:rPr>
            <w:rStyle w:val="Hyperlink"/>
          </w:rPr>
          <w:t xml:space="preserve">2. Code Layout</w:t>
        </w:r>
      </w:hyperlink>
    </w:p>
    <w:p>
      <w:pPr>
        <w:numPr>
          <w:ilvl w:val="1"/>
          <w:numId w:val="1002"/>
        </w:numPr>
        <w:pStyle w:val="Compact"/>
      </w:pPr>
      <w:hyperlink w:anchor="X3e2cfb782c9cecc4c893cca5e2fa9d942a534ab">
        <w:r>
          <w:rPr>
            <w:rStyle w:val="Hyperlink"/>
          </w:rPr>
          <w:t xml:space="preserve">2.1. Indentation</w:t>
        </w:r>
      </w:hyperlink>
    </w:p>
    <w:p>
      <w:pPr>
        <w:numPr>
          <w:ilvl w:val="2"/>
          <w:numId w:val="1003"/>
        </w:numPr>
        <w:pStyle w:val="Compact"/>
      </w:pPr>
      <w:hyperlink w:anchor="Xee4057a82675b9be3ee1759f31297c14fef5eab">
        <w:r>
          <w:rPr>
            <w:rStyle w:val="Hyperlink"/>
          </w:rPr>
          <w:t xml:space="preserve">2.1.1. Function definition and call</w:t>
        </w:r>
      </w:hyperlink>
    </w:p>
    <w:p>
      <w:pPr>
        <w:numPr>
          <w:ilvl w:val="2"/>
          <w:numId w:val="1003"/>
        </w:numPr>
        <w:pStyle w:val="Compact"/>
      </w:pPr>
      <w:hyperlink w:anchor="Xa8d0c5e9dcf4e2237b7033716dcaa9ca03341cb">
        <w:r>
          <w:rPr>
            <w:rStyle w:val="Hyperlink"/>
          </w:rPr>
          <w:t xml:space="preserve">2.1.2. If-Statements</w:t>
        </w:r>
      </w:hyperlink>
    </w:p>
    <w:p>
      <w:pPr>
        <w:numPr>
          <w:ilvl w:val="2"/>
          <w:numId w:val="1003"/>
        </w:numPr>
        <w:pStyle w:val="Compact"/>
      </w:pPr>
      <w:hyperlink w:anchor="X3455d2ba0b2d0fa6016aa9538c5e560cbd0da29">
        <w:r>
          <w:rPr>
            <w:rStyle w:val="Hyperlink"/>
          </w:rPr>
          <w:t xml:space="preserve">2.1.3. Closing brace/bracket/parenthesis</w:t>
        </w:r>
      </w:hyperlink>
    </w:p>
    <w:p>
      <w:pPr>
        <w:numPr>
          <w:ilvl w:val="1"/>
          <w:numId w:val="1002"/>
        </w:numPr>
        <w:pStyle w:val="Compact"/>
      </w:pPr>
      <w:hyperlink w:anchor="X691ddcdeb602e504a9f6a239a859ac12c80032c">
        <w:r>
          <w:rPr>
            <w:rStyle w:val="Hyperlink"/>
          </w:rPr>
          <w:t xml:space="preserve">2.2. Line Length</w:t>
        </w:r>
      </w:hyperlink>
    </w:p>
    <w:bookmarkStart w:id="23" w:name="introduction"/>
    <w:p>
      <w:pPr>
        <w:pStyle w:val="Heading2"/>
      </w:pPr>
      <w:r>
        <w:t xml:space="preserve">1. Introduction</w:t>
      </w:r>
    </w:p>
    <w:p>
      <w:pPr>
        <w:pStyle w:val="FirstParagraph"/>
      </w:pPr>
      <w:r>
        <w:t xml:space="preserve">To understand code better and faster and to have consistency through the code, it’s important to follow and adhere to code guidelines. Code guidelines is about consistency. Consistency in code is important. Consistency within a project is more important. Consistency within one module or function is the most important.</w:t>
      </w:r>
      <w:r>
        <w:t xml:space="preserve"> </w:t>
      </w:r>
      <w:r>
        <w:t xml:space="preserve">This document provides the guidelines for Python Code at School Simplified IT Dept. – Bot Development and is intended to be a reference of compliance with those guidelines. The guidelines are also based on the</w:t>
      </w:r>
      <w:r>
        <w:t xml:space="preserve"> </w:t>
      </w:r>
      <w:hyperlink r:id="rId20">
        <w:r>
          <w:rPr>
            <w:rStyle w:val="Hyperlink"/>
          </w:rPr>
          <w:t xml:space="preserve">PEP8 – Style Guide for Python Code</w:t>
        </w:r>
      </w:hyperlink>
      <w:r>
        <w:t xml:space="preserve"> </w:t>
      </w:r>
      <w:r>
        <w:t xml:space="preserve">and the</w:t>
      </w:r>
      <w:r>
        <w:t xml:space="preserve"> </w:t>
      </w:r>
      <w:hyperlink r:id="rId21">
        <w:r>
          <w:rPr>
            <w:rStyle w:val="Hyperlink"/>
          </w:rPr>
          <w:t xml:space="preserve">PEP257 – Docstring Conventions</w:t>
        </w:r>
      </w:hyperlink>
      <w:r>
        <w:t xml:space="preserve"> </w:t>
      </w:r>
      <w:r>
        <w:t xml:space="preserve">and also provides internal guidelines to work with the library</w:t>
      </w:r>
      <w:r>
        <w:t xml:space="preserve"> </w:t>
      </w:r>
      <w:hyperlink r:id="rId22">
        <w:r>
          <w:rPr>
            <w:rStyle w:val="Hyperlink"/>
          </w:rPr>
          <w:t xml:space="preserve">discord.py</w:t>
        </w:r>
      </w:hyperlink>
      <w:r>
        <w:t xml:space="preserve">.</w:t>
      </w:r>
    </w:p>
    <w:p>
      <w:pPr>
        <w:pStyle w:val="BodyText"/>
      </w:pPr>
    </w:p>
    <w:bookmarkEnd w:id="23"/>
    <w:bookmarkStart w:id="29" w:name="code-layout"/>
    <w:p>
      <w:pPr>
        <w:pStyle w:val="Heading2"/>
      </w:pPr>
      <w:r>
        <w:t xml:space="preserve">2. Code Layout</w:t>
      </w:r>
    </w:p>
    <w:bookmarkStart w:id="27" w:name="indentation"/>
    <w:p>
      <w:pPr>
        <w:pStyle w:val="Heading3"/>
      </w:pPr>
      <w:r>
        <w:t xml:space="preserve">2.1. Indentation</w:t>
      </w:r>
    </w:p>
    <w:p>
      <w:pPr>
        <w:pStyle w:val="FirstParagraph"/>
      </w:pPr>
      <w:r>
        <w:t xml:space="preserve">Use 4 spaces for one indentation level.</w:t>
      </w:r>
      <w:r>
        <w:t xml:space="preserve"> </w:t>
      </w:r>
      <w:r>
        <w:rPr>
          <w:bCs/>
          <w:b/>
        </w:rPr>
        <w:t xml:space="preserve">In PyCharm, 1 tab is 4 spaces.</w:t>
      </w:r>
    </w:p>
    <w:bookmarkStart w:id="24" w:name="function-definition-and-call"/>
    <w:p>
      <w:pPr>
        <w:pStyle w:val="Heading4"/>
      </w:pPr>
      <w:r>
        <w:t xml:space="preserve">2.1.1. Function definition and call</w:t>
      </w:r>
    </w:p>
    <w:p>
      <w:pPr>
        <w:pStyle w:val="SourceCode"/>
      </w:pPr>
      <w:r>
        <w:rPr>
          <w:rStyle w:val="CommentTok"/>
        </w:rPr>
        <w:t xml:space="preserve"># Correct:</w:t>
      </w:r>
      <w:r>
        <w:br/>
      </w:r>
      <w:r>
        <w:br/>
      </w:r>
      <w:r>
        <w:rPr>
          <w:rStyle w:val="CommentTok"/>
        </w:rPr>
        <w:t xml:space="preserve"># Aligned with opening delimiter.</w:t>
      </w:r>
      <w:r>
        <w:br/>
      </w:r>
      <w:r>
        <w:rPr>
          <w:rStyle w:val="NormalTok"/>
        </w:rPr>
        <w:t xml:space="preserve">foo </w:t>
      </w:r>
      <w:r>
        <w:rPr>
          <w:rStyle w:val="OperatorTok"/>
        </w:rPr>
        <w:t xml:space="preserve">=</w:t>
      </w:r>
      <w:r>
        <w:rPr>
          <w:rStyle w:val="NormalTok"/>
        </w:rPr>
        <w:t xml:space="preserve"> long_function_name(var_one, var_two,</w:t>
      </w:r>
      <w:r>
        <w:br/>
      </w:r>
      <w:r>
        <w:rPr>
          <w:rStyle w:val="NormalTok"/>
        </w:rPr>
        <w:t xml:space="preserve">                         var_three, var_four)</w:t>
      </w:r>
      <w:r>
        <w:br/>
      </w:r>
      <w:r>
        <w:br/>
      </w:r>
      <w:r>
        <w:rPr>
          <w:rStyle w:val="CommentTok"/>
        </w:rPr>
        <w:t xml:space="preserve"># Add 4 spaces (an extra level of indentation) to distinguish arguments from the rest.</w:t>
      </w:r>
      <w:r>
        <w:br/>
      </w:r>
      <w:r>
        <w:rPr>
          <w:rStyle w:val="KeywordTok"/>
        </w:rPr>
        <w:t xml:space="preserve">def</w:t>
      </w:r>
      <w:r>
        <w:rPr>
          <w:rStyle w:val="NormalTok"/>
        </w:rPr>
        <w:t xml:space="preserve"> long_function_name(</w:t>
      </w:r>
      <w:r>
        <w:br/>
      </w:r>
      <w:r>
        <w:rPr>
          <w:rStyle w:val="NormalTok"/>
        </w:rPr>
        <w:t xml:space="preserve">        var_one, var_two, var_three,</w:t>
      </w:r>
      <w:r>
        <w:br/>
      </w:r>
      <w:r>
        <w:rPr>
          <w:rStyle w:val="NormalTok"/>
        </w:rPr>
        <w:t xml:space="preserve">        var_four):</w:t>
      </w:r>
      <w:r>
        <w:br/>
      </w:r>
      <w:r>
        <w:rPr>
          <w:rStyle w:val="NormalTok"/>
        </w:rPr>
        <w:t xml:space="preserve">    </w:t>
      </w:r>
      <w:r>
        <w:rPr>
          <w:rStyle w:val="BuiltInTok"/>
        </w:rPr>
        <w:t xml:space="preserve">print</w:t>
      </w:r>
      <w:r>
        <w:rPr>
          <w:rStyle w:val="NormalTok"/>
        </w:rPr>
        <w:t xml:space="preserve">(var_one)</w:t>
      </w:r>
    </w:p>
    <w:p>
      <w:pPr>
        <w:pStyle w:val="SourceCode"/>
      </w:pPr>
      <w:r>
        <w:rPr>
          <w:rStyle w:val="CommentTok"/>
        </w:rPr>
        <w:t xml:space="preserve"># Wrong:</w:t>
      </w:r>
      <w:r>
        <w:br/>
      </w:r>
      <w:r>
        <w:br/>
      </w:r>
      <w:r>
        <w:rPr>
          <w:rStyle w:val="CommentTok"/>
        </w:rPr>
        <w:t xml:space="preserve"># Arguments on first line forbidden when not using vertical alignment.</w:t>
      </w:r>
      <w:r>
        <w:br/>
      </w:r>
      <w:r>
        <w:rPr>
          <w:rStyle w:val="NormalTok"/>
        </w:rPr>
        <w:t xml:space="preserve">foo </w:t>
      </w:r>
      <w:r>
        <w:rPr>
          <w:rStyle w:val="OperatorTok"/>
        </w:rPr>
        <w:t xml:space="preserve">=</w:t>
      </w:r>
      <w:r>
        <w:rPr>
          <w:rStyle w:val="NormalTok"/>
        </w:rPr>
        <w:t xml:space="preserve"> long_function_name(var_one, var_two,</w:t>
      </w:r>
      <w:r>
        <w:br/>
      </w:r>
      <w:r>
        <w:rPr>
          <w:rStyle w:val="NormalTok"/>
        </w:rPr>
        <w:t xml:space="preserve">    var_three, var_four)</w:t>
      </w:r>
      <w:r>
        <w:br/>
      </w:r>
      <w:r>
        <w:br/>
      </w:r>
      <w:r>
        <w:rPr>
          <w:rStyle w:val="CommentTok"/>
        </w:rPr>
        <w:t xml:space="preserve"># Further indentation required as indentation is not distinguishable.</w:t>
      </w:r>
      <w:r>
        <w:br/>
      </w:r>
      <w:r>
        <w:rPr>
          <w:rStyle w:val="KeywordTok"/>
        </w:rPr>
        <w:t xml:space="preserve">def</w:t>
      </w:r>
      <w:r>
        <w:rPr>
          <w:rStyle w:val="NormalTok"/>
        </w:rPr>
        <w:t xml:space="preserve"> long_function_name(</w:t>
      </w:r>
      <w:r>
        <w:br/>
      </w:r>
      <w:r>
        <w:rPr>
          <w:rStyle w:val="NormalTok"/>
        </w:rPr>
        <w:t xml:space="preserve">    var_one, var_two, var_three,</w:t>
      </w:r>
      <w:r>
        <w:br/>
      </w:r>
      <w:r>
        <w:rPr>
          <w:rStyle w:val="NormalTok"/>
        </w:rPr>
        <w:t xml:space="preserve">    var_four):</w:t>
      </w:r>
      <w:r>
        <w:br/>
      </w:r>
      <w:r>
        <w:rPr>
          <w:rStyle w:val="NormalTok"/>
        </w:rPr>
        <w:t xml:space="preserve">    </w:t>
      </w:r>
      <w:r>
        <w:rPr>
          <w:rStyle w:val="BuiltInTok"/>
        </w:rPr>
        <w:t xml:space="preserve">print</w:t>
      </w:r>
      <w:r>
        <w:rPr>
          <w:rStyle w:val="NormalTok"/>
        </w:rPr>
        <w:t xml:space="preserve">(var_one)</w:t>
      </w:r>
    </w:p>
    <w:bookmarkEnd w:id="24"/>
    <w:bookmarkStart w:id="25" w:name="if-statements"/>
    <w:p>
      <w:pPr>
        <w:pStyle w:val="Heading4"/>
      </w:pPr>
      <w:r>
        <w:t xml:space="preserve">2.1.2. If-Statements</w:t>
      </w:r>
    </w:p>
    <w:p>
      <w:pPr>
        <w:pStyle w:val="FirstParagraph"/>
      </w:pPr>
      <w:r>
        <w:t xml:space="preserve">For</w:t>
      </w:r>
      <w:r>
        <w:t xml:space="preserve"> </w:t>
      </w:r>
      <w:r>
        <w:rPr>
          <w:rStyle w:val="VerbatimChar"/>
        </w:rPr>
        <w:t xml:space="preserve">if</w:t>
      </w:r>
      <w:r>
        <w:t xml:space="preserve">-statements there are no specific rules on how to do indent. However, acceptable options include, but are not limited to:</w:t>
      </w:r>
    </w:p>
    <w:p>
      <w:pPr>
        <w:pStyle w:val="SourceCode"/>
      </w:pPr>
      <w:r>
        <w:rPr>
          <w:rStyle w:val="CommentTok"/>
        </w:rPr>
        <w:t xml:space="preserve"># No extra indentation.</w:t>
      </w:r>
      <w:r>
        <w:br/>
      </w:r>
      <w:r>
        <w:rPr>
          <w:rStyle w:val="ControlFlowTok"/>
        </w:rPr>
        <w:t xml:space="preserve">if</w:t>
      </w:r>
      <w:r>
        <w:rPr>
          <w:rStyle w:val="NormalTok"/>
        </w:rPr>
        <w:t xml:space="preserve"> (this_is_one_thing </w:t>
      </w:r>
      <w:r>
        <w:rPr>
          <w:rStyle w:val="KeywordTok"/>
        </w:rPr>
        <w:t xml:space="preserve">and</w:t>
      </w:r>
      <w:r>
        <w:br/>
      </w:r>
      <w:r>
        <w:rPr>
          <w:rStyle w:val="NormalTok"/>
        </w:rPr>
        <w:t xml:space="preserve">    that_is_another_thing):</w:t>
      </w:r>
      <w:r>
        <w:br/>
      </w:r>
      <w:r>
        <w:rPr>
          <w:rStyle w:val="NormalTok"/>
        </w:rPr>
        <w:t xml:space="preserve">    do_something()</w:t>
      </w:r>
      <w:r>
        <w:br/>
      </w:r>
      <w:r>
        <w:br/>
      </w:r>
      <w:r>
        <w:rPr>
          <w:rStyle w:val="CommentTok"/>
        </w:rPr>
        <w:t xml:space="preserve"># No extra indentation with an empty line after if-statement.</w:t>
      </w:r>
      <w:r>
        <w:br/>
      </w:r>
      <w:r>
        <w:rPr>
          <w:rStyle w:val="CommentTok"/>
        </w:rPr>
        <w:t xml:space="preserve"># PREFERRED</w:t>
      </w:r>
      <w:r>
        <w:br/>
      </w:r>
      <w:r>
        <w:rPr>
          <w:rStyle w:val="ControlFlowTok"/>
        </w:rPr>
        <w:t xml:space="preserve">if</w:t>
      </w:r>
      <w:r>
        <w:rPr>
          <w:rStyle w:val="NormalTok"/>
        </w:rPr>
        <w:t xml:space="preserve"> (this_is_one_thing </w:t>
      </w:r>
      <w:r>
        <w:rPr>
          <w:rStyle w:val="KeywordTok"/>
        </w:rPr>
        <w:t xml:space="preserve">and</w:t>
      </w:r>
      <w:r>
        <w:br/>
      </w:r>
      <w:r>
        <w:rPr>
          <w:rStyle w:val="NormalTok"/>
        </w:rPr>
        <w:t xml:space="preserve">    that_is_another_thing):</w:t>
      </w:r>
      <w:r>
        <w:br/>
      </w:r>
      <w:r>
        <w:rPr>
          <w:rStyle w:val="NormalTok"/>
        </w:rPr>
        <w:t xml:space="preserve">    </w:t>
      </w:r>
      <w:r>
        <w:br/>
      </w:r>
      <w:r>
        <w:rPr>
          <w:rStyle w:val="NormalTok"/>
        </w:rPr>
        <w:t xml:space="preserve">    do_something()</w:t>
      </w:r>
    </w:p>
    <w:bookmarkEnd w:id="25"/>
    <w:bookmarkStart w:id="26" w:name="closing-bracebracketparenthesis"/>
    <w:p>
      <w:pPr>
        <w:pStyle w:val="Heading4"/>
      </w:pPr>
      <w:r>
        <w:t xml:space="preserve">2.1.3. Closing brace/bracket/parenthesis</w:t>
      </w:r>
    </w:p>
    <w:p>
      <w:pPr>
        <w:pStyle w:val="FirstParagraph"/>
      </w:pPr>
      <w:r>
        <w:t xml:space="preserve">The closing brace/bracket/parenthesis on multiline constructs may either line up under the first non-whitespace character of the last line of list, as in:</w:t>
      </w:r>
    </w:p>
    <w:p>
      <w:pPr>
        <w:pStyle w:val="SourceCode"/>
      </w:pPr>
      <w:r>
        <w:rPr>
          <w:rStyle w:val="NormalTok"/>
        </w:rPr>
        <w:t xml:space="preserve">my_list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result </w:t>
      </w:r>
      <w:r>
        <w:rPr>
          <w:rStyle w:val="OperatorTok"/>
        </w:rPr>
        <w:t xml:space="preserve">=</w:t>
      </w:r>
      <w:r>
        <w:rPr>
          <w:rStyle w:val="NormalTok"/>
        </w:rPr>
        <w:t xml:space="preserve"> some_function_that_takes_arguments(</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    )</w:t>
      </w:r>
    </w:p>
    <w:p>
      <w:pPr>
        <w:pStyle w:val="FirstParagraph"/>
      </w:pPr>
      <w:r>
        <w:t xml:space="preserve">or it may be lined up under the first character of the line that starts the multiline construct, as in:</w:t>
      </w:r>
    </w:p>
    <w:p>
      <w:pPr>
        <w:pStyle w:val="SourceCode"/>
      </w:pPr>
      <w:r>
        <w:rPr>
          <w:rStyle w:val="NormalTok"/>
        </w:rPr>
        <w:t xml:space="preserve">my_list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w:t>
      </w:r>
      <w:r>
        <w:br/>
      </w:r>
      <w:r>
        <w:rPr>
          <w:rStyle w:val="NormalTok"/>
        </w:rPr>
        <w:t xml:space="preserve">result </w:t>
      </w:r>
      <w:r>
        <w:rPr>
          <w:rStyle w:val="OperatorTok"/>
        </w:rPr>
        <w:t xml:space="preserve">=</w:t>
      </w:r>
      <w:r>
        <w:rPr>
          <w:rStyle w:val="NormalTok"/>
        </w:rPr>
        <w:t xml:space="preserve"> some_function_that_takes_arguments(</w:t>
      </w:r>
      <w:r>
        <w:br/>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w:t>
      </w:r>
    </w:p>
    <w:p>
      <w:pPr>
        <w:pStyle w:val="FirstParagraph"/>
      </w:pPr>
    </w:p>
    <w:bookmarkEnd w:id="26"/>
    <w:bookmarkEnd w:id="27"/>
    <w:bookmarkStart w:id="28" w:name="line-length"/>
    <w:p>
      <w:pPr>
        <w:pStyle w:val="Heading3"/>
      </w:pPr>
      <w:r>
        <w:t xml:space="preserve">2.2. Line Length</w:t>
      </w:r>
    </w:p>
    <w:p>
      <w:pPr>
        <w:pStyle w:val="FirstParagraph"/>
      </w:pPr>
      <w:r>
        <w:rPr>
          <w:bCs/>
          <w:b/>
        </w:rPr>
        <w:t xml:space="preserve">We don’t apply this rule</w:t>
      </w:r>
      <w:r>
        <w:t xml:space="preserve">, even when PEP8 requires to limit all lines to a maximum length of 79 characters. However, limit it to something reasonable. In PyCharm the limit is 120 characters by default which is marked with a thin, grey line.</w:t>
      </w:r>
    </w:p>
    <w:p>
      <w:pPr>
        <w:pStyle w:val="BodyText"/>
      </w:pPr>
      <w:r>
        <w:rPr>
          <w:bCs/>
          <w:b/>
        </w:rPr>
        <w:t xml:space="preserve">IMAGE HERE</w:t>
      </w:r>
    </w:p>
    <w:p>
      <w:pPr>
        <w:pStyle w:val="BodyText"/>
      </w:pPr>
      <w:r>
        <w:t xml:space="preserve">The preffered way to wrapping long lines is by using the Python’s implied line continuation inside brackets. Long lines can also be broken over multiple lines by using a</w:t>
      </w:r>
      <w:r>
        <w:t xml:space="preserve"> </w:t>
      </w:r>
      <w:r>
        <w:rPr>
          <w:bCs/>
          <w:b/>
        </w:rPr>
        <w:t xml:space="preserve">backslash</w:t>
      </w:r>
      <w:r>
        <w:t xml:space="preserve"> </w:t>
      </w:r>
      <w:r>
        <w:t xml:space="preserve">for line continuation if it’s needed.</w:t>
      </w:r>
    </w:p>
    <w:p>
      <w:pPr>
        <w:pStyle w:val="SourceCode"/>
      </w:pPr>
      <w:r>
        <w:br/>
      </w:r>
      <w:r>
        <w:rPr>
          <w:rStyle w:val="CommentTok"/>
        </w:rPr>
        <w:t xml:space="preserve"># Python's implied line continuation inside brackets</w:t>
      </w:r>
      <w:r>
        <w:br/>
      </w:r>
      <w:r>
        <w:rPr>
          <w:rStyle w:val="ControlFlowTok"/>
        </w:rPr>
        <w:t xml:space="preserve">if</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KeywordTok"/>
        </w:rPr>
        <w:t xml:space="preserve">and</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KeywordTok"/>
        </w:rPr>
        <w:t xml:space="preserve">or</w:t>
      </w:r>
      <w:r>
        <w:rPr>
          <w:rStyle w:val="NormalTok"/>
        </w:rPr>
        <w:t xml:space="preserve"> </w:t>
      </w:r>
      <w:r>
        <w:rPr>
          <w:rStyle w:val="VariableTok"/>
        </w:rPr>
        <w:t xml:space="preserve">False</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 </w:t>
      </w:r>
      <w:r>
        <w:rPr>
          <w:rStyle w:val="KeywordTok"/>
        </w:rPr>
        <w:t xml:space="preserve">and</w:t>
      </w:r>
      <w:r>
        <w:rPr>
          <w:rStyle w:val="NormalTok"/>
        </w:rPr>
        <w:t xml:space="preserve"> </w:t>
      </w:r>
      <w:r>
        <w:rPr>
          <w:rStyle w:val="VariableTok"/>
        </w:rPr>
        <w:t xml:space="preserve">True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Backslash line continuation</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'/path/to/some/file/you/want/to/read'</w:t>
      </w:r>
      <w:r>
        <w:rPr>
          <w:rStyle w:val="NormalTok"/>
        </w:rPr>
        <w:t xml:space="preserve">) </w:t>
      </w:r>
      <w:r>
        <w:rPr>
          <w:rStyle w:val="ImportTok"/>
        </w:rPr>
        <w:t xml:space="preserve">as</w:t>
      </w:r>
      <w:r>
        <w:rPr>
          <w:rStyle w:val="NormalTok"/>
        </w:rPr>
        <w:t xml:space="preserve"> file_1, </w:t>
      </w:r>
      <w:r>
        <w:rPr>
          <w:rStyle w:val="OperatorTok"/>
        </w:rPr>
        <w:t xml:space="preserve">\</w:t>
      </w:r>
      <w:r>
        <w:br/>
      </w:r>
      <w:r>
        <w:rPr>
          <w:rStyle w:val="NormalTok"/>
        </w:rPr>
        <w:t xml:space="preserve">     </w:t>
      </w:r>
      <w:r>
        <w:rPr>
          <w:rStyle w:val="BuiltInTok"/>
        </w:rPr>
        <w:t xml:space="preserve">open</w:t>
      </w:r>
      <w:r>
        <w:rPr>
          <w:rStyle w:val="NormalTok"/>
        </w:rPr>
        <w:t xml:space="preserve">(</w:t>
      </w:r>
      <w:r>
        <w:rPr>
          <w:rStyle w:val="StringTok"/>
        </w:rPr>
        <w:t xml:space="preserve">'/path/to/some/file/being/written'</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file_2:</w:t>
      </w:r>
      <w:r>
        <w:br/>
      </w:r>
      <w:r>
        <w:rPr>
          <w:rStyle w:val="NormalTok"/>
        </w:rPr>
        <w:t xml:space="preserve">    file_2.write(file_1.read())</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apptz/discord.py" TargetMode="External" /><Relationship Type="http://schemas.openxmlformats.org/officeDocument/2006/relationships/hyperlink" Id="rId20" Target="https://peps.python.org/pep-0008/" TargetMode="External" /><Relationship Type="http://schemas.openxmlformats.org/officeDocument/2006/relationships/hyperlink" Id="rId21" Target="https://peps.python.org/pep-0257/"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apptz/discord.py" TargetMode="External" /><Relationship Type="http://schemas.openxmlformats.org/officeDocument/2006/relationships/hyperlink" Id="rId20" Target="https://peps.python.org/pep-0008/" TargetMode="External" /><Relationship Type="http://schemas.openxmlformats.org/officeDocument/2006/relationships/hyperlink" Id="rId21" Target="https://peps.python.org/pep-02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2022-03-29T20:35:16Z</dcterms:created>
  <dcterms:modified xsi:type="dcterms:W3CDTF">2022-03-29T20:35:16Z</dcterms:modified>
</cp:coreProperties>
</file>

<file path=docProps/custom.xml><?xml version="1.0" encoding="utf-8"?>
<Properties xmlns="http://schemas.openxmlformats.org/officeDocument/2006/custom-properties" xmlns:vt="http://schemas.openxmlformats.org/officeDocument/2006/docPropsVTypes"/>
</file>