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Agreement</w:t>
      </w:r>
    </w:p>
    <w:p>
      <w:pPr>
        <w:pStyle w:val="Heading2"/>
      </w:pPr>
      <w:r>
        <w:t>1. Scope</w:t>
      </w:r>
    </w:p>
    <w:p>
      <w:r>
        <w:t>The Provider delivers managed cloud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Uptime</w:t>
            </w:r>
          </w:p>
        </w:tc>
        <w:tc>
          <w:tcPr>
            <w:tcW w:type="dxa" w:w="2880"/>
          </w:tcPr>
          <w:p>
            <w:r>
              <w:t>Resp</w:t>
            </w:r>
          </w:p>
        </w:tc>
      </w:tr>
      <w:tr>
        <w:tc>
          <w:tcPr>
            <w:tcW w:type="dxa" w:w="2880"/>
          </w:tcPr>
          <w:p>
            <w:r>
              <w:t>Std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  <w:tc>
          <w:tcPr>
            <w:tcW w:type="dxa" w:w="2880"/>
          </w:tcPr>
          <w:p>
            <w:r>
              <w:t>8h</w:t>
            </w:r>
          </w:p>
        </w:tc>
      </w:tr>
      <w:tr>
        <w:tc>
          <w:tcPr>
            <w:tcW w:type="dxa" w:w="2880"/>
          </w:tcPr>
          <w:p>
            <w:r>
              <w:t>Biz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2h</w:t>
            </w:r>
          </w:p>
        </w:tc>
      </w:tr>
      <w:tr>
        <w:tc>
          <w:tcPr>
            <w:tcW w:type="dxa" w:w="2880"/>
          </w:tcPr>
          <w:p>
            <w:r>
              <w:t>Crit</w:t>
            </w:r>
          </w:p>
        </w:tc>
        <w:tc>
          <w:tcPr>
            <w:tcW w:type="dxa" w:w="2880"/>
          </w:tcPr>
          <w:p>
            <w:r>
              <w:t>99.95%</w:t>
            </w:r>
          </w:p>
        </w:tc>
        <w:tc>
          <w:tcPr>
            <w:tcW w:type="dxa" w:w="2880"/>
          </w:tcPr>
          <w:p>
            <w:r>
              <w:t>30m</w:t>
            </w:r>
          </w:p>
        </w:tc>
      </w:tr>
    </w:tbl>
    <w:p>
      <w:pPr>
        <w:pStyle w:val="ListBullet"/>
      </w:pPr>
      <w:r>
        <w:t>Maintain encryption.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