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Comprehensive Billing Dispute Resolution Policy</w:t>
      </w:r>
    </w:p>
    <w:p>
      <w:r>
        <w:t>Document Version: 2.1</w:t>
      </w:r>
    </w:p>
    <w:p>
      <w:r>
        <w:t>Effective Date: January 1, 2024</w:t>
      </w:r>
    </w:p>
    <w:p>
      <w:r>
        <w:t>Last Updated: December 2024</w:t>
      </w:r>
    </w:p>
    <w:p>
      <w:r>
        <w:t>Department: Customer Success &amp; Finance</w:t>
      </w:r>
    </w:p>
    <w:p>
      <w:r>
        <w:br w:type="page"/>
      </w:r>
    </w:p>
    <w:p>
      <w:pPr>
        <w:pStyle w:val="Heading1"/>
      </w:pPr>
      <w:r>
        <w:t>Table of Contents</w:t>
      </w:r>
    </w:p>
    <w:p>
      <w:pPr>
        <w:pStyle w:val="ListNumber"/>
      </w:pPr>
      <w:r>
        <w:t>1. Executive Summary</w:t>
      </w:r>
    </w:p>
    <w:p>
      <w:pPr>
        <w:pStyle w:val="ListNumber"/>
      </w:pPr>
      <w:r>
        <w:t>2. Scope and Applicability</w:t>
      </w:r>
    </w:p>
    <w:p>
      <w:pPr>
        <w:pStyle w:val="ListNumber"/>
      </w:pPr>
      <w:r>
        <w:t>3. Dispute Categories and Resolution Matrix</w:t>
      </w:r>
    </w:p>
    <w:p>
      <w:pPr>
        <w:pStyle w:val="ListNumber"/>
      </w:pPr>
      <w:r>
        <w:t>4. Customer Tier Considerations</w:t>
      </w:r>
    </w:p>
    <w:p>
      <w:pPr>
        <w:pStyle w:val="ListNumber"/>
      </w:pPr>
      <w:r>
        <w:t>5. Investigation Procedures</w:t>
      </w:r>
    </w:p>
    <w:p>
      <w:pPr>
        <w:pStyle w:val="ListNumber"/>
      </w:pPr>
      <w:r>
        <w:t>6. Resolution Guidelines</w:t>
      </w:r>
    </w:p>
    <w:p>
      <w:pPr>
        <w:pStyle w:val="ListNumber"/>
      </w:pPr>
      <w:r>
        <w:t>7. Approval Workflows</w:t>
      </w:r>
    </w:p>
    <w:p>
      <w:pPr>
        <w:pStyle w:val="ListNumber"/>
      </w:pPr>
      <w:r>
        <w:t>8. Documentation Requirements</w:t>
      </w:r>
    </w:p>
    <w:p>
      <w:pPr>
        <w:pStyle w:val="ListNumber"/>
      </w:pPr>
      <w:r>
        <w:t>9. Escalation Procedures</w:t>
      </w:r>
    </w:p>
    <w:p>
      <w:pPr>
        <w:pStyle w:val="ListNumber"/>
      </w:pPr>
      <w:r>
        <w:t>10. Appeals Process</w:t>
      </w:r>
    </w:p>
    <w:p>
      <w:r>
        <w:br w:type="page"/>
      </w:r>
    </w:p>
    <w:p>
      <w:pPr>
        <w:pStyle w:val="Heading1"/>
      </w:pPr>
      <w:r>
        <w:t>1. Executive Summary</w:t>
      </w:r>
    </w:p>
    <w:p>
      <w:r>
        <w:t>This comprehensive policy establishes standardized procedures for handling billing disputes across all customer segments. Our approach prioritizes customer satisfaction while protecting company interests through data-driven resolution strategies.</w:t>
      </w:r>
    </w:p>
    <w:p>
      <w:r>
        <w:t>Key principles governing our dispute resolution process include:</w:t>
        <w:br/>
        <w:t>• Fair and consistent treatment across all customer tiers</w:t>
        <w:br/>
        <w:t>• Rapid response times with 48-hour initial assessment</w:t>
        <w:br/>
        <w:t>• Evidence-based decision making using historical data</w:t>
        <w:br/>
        <w:t>• Proactive communication throughout the resolution process</w:t>
        <w:br/>
        <w:t>• Continuous improvement based on resolution outcomes</w:t>
      </w:r>
    </w:p>
    <w:p>
      <w:pPr>
        <w:pStyle w:val="Heading1"/>
      </w:pPr>
      <w:r>
        <w:t>2. Scope and Applicability</w:t>
      </w:r>
    </w:p>
    <w:p>
      <w:r>
        <w:t>This policy applies to all billing disputes received through any channel including:</w:t>
        <w:br/>
        <w:t>• Customer support tickets</w:t>
        <w:br/>
        <w:t>• Email communications</w:t>
        <w:br/>
        <w:t>• Phone calls</w:t>
        <w:br/>
        <w:t>• Chargeback notifications</w:t>
        <w:br/>
        <w:t>• Legal notices</w:t>
      </w:r>
    </w:p>
    <w:p>
      <w:r>
        <w:t>Excluded from this policy are disputes related to:</w:t>
        <w:br/>
        <w:t>• Contract negotiations (handled by Legal)</w:t>
        <w:br/>
        <w:t>• Service level agreement violations (handled by Operations)</w:t>
        <w:br/>
        <w:t>• Data privacy concerns (handled by Privacy Office)</w:t>
      </w:r>
    </w:p>
    <w:p>
      <w:pPr>
        <w:pStyle w:val="Heading1"/>
      </w:pPr>
      <w:r>
        <w:t>3. Dispute Categories and Resolution Matrix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Dispute Category</w:t>
            </w:r>
          </w:p>
        </w:tc>
        <w:tc>
          <w:tcPr>
            <w:tcW w:type="dxa" w:w="2160"/>
          </w:tcPr>
          <w:p>
            <w:r>
              <w:t>Typical Resolution</w:t>
            </w:r>
          </w:p>
        </w:tc>
        <w:tc>
          <w:tcPr>
            <w:tcW w:type="dxa" w:w="2160"/>
          </w:tcPr>
          <w:p>
            <w:r>
              <w:t>Time Frame</w:t>
            </w:r>
          </w:p>
        </w:tc>
        <w:tc>
          <w:tcPr>
            <w:tcW w:type="dxa" w:w="2160"/>
          </w:tcPr>
          <w:p>
            <w:r>
              <w:t>Approval Required</w:t>
            </w:r>
          </w:p>
        </w:tc>
      </w:tr>
      <w:tr>
        <w:tc>
          <w:tcPr>
            <w:tcW w:type="dxa" w:w="2160"/>
          </w:tcPr>
          <w:p>
            <w:r>
              <w:t>Duplicate Charges</w:t>
            </w:r>
          </w:p>
        </w:tc>
        <w:tc>
          <w:tcPr>
            <w:tcW w:type="dxa" w:w="2160"/>
          </w:tcPr>
          <w:p>
            <w:r>
              <w:t>Full Refund</w:t>
            </w:r>
          </w:p>
        </w:tc>
        <w:tc>
          <w:tcPr>
            <w:tcW w:type="dxa" w:w="2160"/>
          </w:tcPr>
          <w:p>
            <w:r>
              <w:t>24 hours</w:t>
            </w:r>
          </w:p>
        </w:tc>
        <w:tc>
          <w:tcPr>
            <w:tcW w:type="dxa" w:w="2160"/>
          </w:tcPr>
          <w:p>
            <w:r>
              <w:t>Manager ($500+)</w:t>
            </w:r>
          </w:p>
        </w:tc>
      </w:tr>
      <w:tr>
        <w:tc>
          <w:tcPr>
            <w:tcW w:type="dxa" w:w="2160"/>
          </w:tcPr>
          <w:p>
            <w:r>
              <w:t>Service Outage</w:t>
            </w:r>
          </w:p>
        </w:tc>
        <w:tc>
          <w:tcPr>
            <w:tcW w:type="dxa" w:w="2160"/>
          </w:tcPr>
          <w:p>
            <w:r>
              <w:t>Full/Partial Refund</w:t>
            </w:r>
          </w:p>
        </w:tc>
        <w:tc>
          <w:tcPr>
            <w:tcW w:type="dxa" w:w="2160"/>
          </w:tcPr>
          <w:p>
            <w:r>
              <w:t>48 hours</w:t>
            </w:r>
          </w:p>
        </w:tc>
        <w:tc>
          <w:tcPr>
            <w:tcW w:type="dxa" w:w="2160"/>
          </w:tcPr>
          <w:p>
            <w:r>
              <w:t>Director ($1000+)</w:t>
            </w:r>
          </w:p>
        </w:tc>
      </w:tr>
      <w:tr>
        <w:tc>
          <w:tcPr>
            <w:tcW w:type="dxa" w:w="2160"/>
          </w:tcPr>
          <w:p>
            <w:r>
              <w:t>Billing Errors</w:t>
            </w:r>
          </w:p>
        </w:tc>
        <w:tc>
          <w:tcPr>
            <w:tcW w:type="dxa" w:w="2160"/>
          </w:tcPr>
          <w:p>
            <w:r>
              <w:t>Correction + Credit</w:t>
            </w:r>
          </w:p>
        </w:tc>
        <w:tc>
          <w:tcPr>
            <w:tcW w:type="dxa" w:w="2160"/>
          </w:tcPr>
          <w:p>
            <w:r>
              <w:t>24 hours</w:t>
            </w:r>
          </w:p>
        </w:tc>
        <w:tc>
          <w:tcPr>
            <w:tcW w:type="dxa" w:w="2160"/>
          </w:tcPr>
          <w:p>
            <w:r>
              <w:t>Manager ($250+)</w:t>
            </w:r>
          </w:p>
        </w:tc>
      </w:tr>
      <w:tr>
        <w:tc>
          <w:tcPr>
            <w:tcW w:type="dxa" w:w="2160"/>
          </w:tcPr>
          <w:p>
            <w:r>
              <w:t>Unauthorized Charges</w:t>
            </w:r>
          </w:p>
        </w:tc>
        <w:tc>
          <w:tcPr>
            <w:tcW w:type="dxa" w:w="2160"/>
          </w:tcPr>
          <w:p>
            <w:r>
              <w:t>Investigation Required</w:t>
            </w:r>
          </w:p>
        </w:tc>
        <w:tc>
          <w:tcPr>
            <w:tcW w:type="dxa" w:w="2160"/>
          </w:tcPr>
          <w:p>
            <w:r>
              <w:t>72 hours</w:t>
            </w:r>
          </w:p>
        </w:tc>
        <w:tc>
          <w:tcPr>
            <w:tcW w:type="dxa" w:w="2160"/>
          </w:tcPr>
          <w:p>
            <w:r>
              <w:t>Director (All)</w:t>
            </w:r>
          </w:p>
        </w:tc>
      </w:tr>
      <w:tr>
        <w:tc>
          <w:tcPr>
            <w:tcW w:type="dxa" w:w="2160"/>
          </w:tcPr>
          <w:p>
            <w:r>
              <w:t>Service Quality</w:t>
            </w:r>
          </w:p>
        </w:tc>
        <w:tc>
          <w:tcPr>
            <w:tcW w:type="dxa" w:w="2160"/>
          </w:tcPr>
          <w:p>
            <w:r>
              <w:t>Account Credit</w:t>
            </w:r>
          </w:p>
        </w:tc>
        <w:tc>
          <w:tcPr>
            <w:tcW w:type="dxa" w:w="2160"/>
          </w:tcPr>
          <w:p>
            <w:r>
              <w:t>48 hours</w:t>
            </w:r>
          </w:p>
        </w:tc>
        <w:tc>
          <w:tcPr>
            <w:tcW w:type="dxa" w:w="2160"/>
          </w:tcPr>
          <w:p>
            <w:r>
              <w:t>Manager ($750+)</w:t>
            </w:r>
          </w:p>
        </w:tc>
      </w:tr>
      <w:tr>
        <w:tc>
          <w:tcPr>
            <w:tcW w:type="dxa" w:w="2160"/>
          </w:tcPr>
          <w:p>
            <w:r>
              <w:t>Subscription Cancellation</w:t>
            </w:r>
          </w:p>
        </w:tc>
        <w:tc>
          <w:tcPr>
            <w:tcW w:type="dxa" w:w="2160"/>
          </w:tcPr>
          <w:p>
            <w:r>
              <w:t>Pro-rated Refund</w:t>
            </w:r>
          </w:p>
        </w:tc>
        <w:tc>
          <w:tcPr>
            <w:tcW w:type="dxa" w:w="2160"/>
          </w:tcPr>
          <w:p>
            <w:r>
              <w:t>24 hours</w:t>
            </w:r>
          </w:p>
        </w:tc>
        <w:tc>
          <w:tcPr>
            <w:tcW w:type="dxa" w:w="2160"/>
          </w:tcPr>
          <w:p>
            <w:r>
              <w:t>Manager ($300+)</w:t>
            </w:r>
          </w:p>
        </w:tc>
      </w:tr>
    </w:tbl>
    <w:p>
      <w:pPr>
        <w:pStyle w:val="Heading1"/>
      </w:pPr>
      <w:r>
        <w:t>4. Customer Tier Considerations</w:t>
      </w:r>
    </w:p>
    <w:p>
      <w:pPr>
        <w:pStyle w:val="Heading2"/>
      </w:pPr>
      <w:r>
        <w:t>4.1 Premium Customers</w:t>
      </w:r>
    </w:p>
    <w:p>
      <w:r>
        <w:t>Premium customers receive enhanced dispute resolution benefits:</w:t>
        <w:br/>
        <w:t>• 24/7 dedicated support line</w:t>
        <w:br/>
        <w:t>• Full refunds for service interruptions over 2 hours</w:t>
        <w:br/>
        <w:t>• Expedited processing with 24-hour maximum response</w:t>
        <w:br/>
        <w:t>• Direct escalation to senior management for disputes over $1000</w:t>
        <w:br/>
        <w:t>• Goodwill credits up to $500 without additional approval</w:t>
      </w:r>
    </w:p>
    <w:p>
      <w:pPr>
        <w:pStyle w:val="Heading2"/>
      </w:pPr>
      <w:r>
        <w:t>4.2 Enterprise Customers</w:t>
      </w:r>
    </w:p>
    <w:p>
      <w:r>
        <w:t>Enterprise customers have specialized handling procedures:</w:t>
        <w:br/>
        <w:t>• Account-specific dispute resolution protocols</w:t>
        <w:br/>
        <w:t>• Custom SLA requirements based on contract terms</w:t>
        <w:br/>
        <w:t>• Dedicated account manager involvement in all disputes</w:t>
        <w:br/>
        <w:t>• Quarterly dispute trend analysis and prevention planning</w:t>
        <w:br/>
        <w:t>• Executive-level escalation for disputes over $5000</w:t>
      </w:r>
    </w:p>
    <w:p>
      <w:pPr>
        <w:pStyle w:val="Heading2"/>
      </w:pPr>
      <w:r>
        <w:t>4.3 Standard Customers</w:t>
      </w:r>
    </w:p>
    <w:p>
      <w:r>
        <w:t>Standard customers receive fair and efficient resolution:</w:t>
        <w:br/>
        <w:t>• 48-hour response time guarantee</w:t>
        <w:br/>
        <w:t>• Standard refund policies apply</w:t>
        <w:br/>
        <w:t>• Manager approval required for refunds over $250</w:t>
        <w:br/>
        <w:t>• Escalation available for unresolved disputes</w:t>
        <w:br/>
        <w:t>• Self-service options for common dispute types</w:t>
      </w:r>
    </w:p>
    <w:p>
      <w:pPr>
        <w:pStyle w:val="Heading1"/>
      </w:pPr>
      <w:r>
        <w:t>5. Investigation Procedures</w:t>
      </w:r>
    </w:p>
    <w:p>
      <w:pPr>
        <w:pStyle w:val="Heading2"/>
      </w:pPr>
      <w:r>
        <w:t>5.1 Initial Assessment</w:t>
      </w:r>
    </w:p>
    <w:p>
      <w:r>
        <w:t>Upon receiving a dispute, the support team must:</w:t>
        <w:br/>
        <w:t>1. Verify customer identity and account status</w:t>
        <w:br/>
        <w:t>2. Document the dispute details and customer concerns</w:t>
        <w:br/>
        <w:t>3. Gather relevant transaction and service history</w:t>
        <w:br/>
        <w:t>4. Classify the dispute according to established categories</w:t>
        <w:br/>
        <w:t>5. Assign appropriate priority based on customer tier and amount</w:t>
      </w:r>
    </w:p>
    <w:p>
      <w:pPr>
        <w:pStyle w:val="Heading2"/>
      </w:pPr>
      <w:r>
        <w:t>5.2 Evidence Collection</w:t>
      </w:r>
    </w:p>
    <w:p>
      <w:r>
        <w:t>Required evidence includes:</w:t>
        <w:br/>
        <w:t>• Transaction logs and payment records</w:t>
        <w:br/>
        <w:t>• Service usage data and performance metrics</w:t>
        <w:br/>
        <w:t>• Customer communication history</w:t>
        <w:br/>
        <w:t>• Related support tickets and resolutions</w:t>
        <w:br/>
        <w:t>• Third-party payment processor records when applicable</w:t>
      </w:r>
    </w:p>
    <w:p>
      <w:pPr>
        <w:pStyle w:val="Heading2"/>
      </w:pPr>
      <w:r>
        <w:t>5.3 Analysis and Review</w:t>
      </w:r>
    </w:p>
    <w:p>
      <w:r>
        <w:t>Analysis must consider:</w:t>
        <w:br/>
        <w:t>• Historical similar cases and their resolutions</w:t>
        <w:br/>
        <w:t>• Company policies and contractual obligations</w:t>
        <w:br/>
        <w:t>• Customer relationship value and history</w:t>
        <w:br/>
        <w:t>• Potential precedent-setting implications</w:t>
        <w:br/>
        <w:t>• Risk assessment for different resolution options</w:t>
      </w:r>
    </w:p>
    <w:p>
      <w:pPr>
        <w:pStyle w:val="Heading1"/>
      </w:pPr>
      <w:r>
        <w:t>6. Resolution Guidelines</w:t>
      </w:r>
    </w:p>
    <w:p>
      <w:pPr>
        <w:pStyle w:val="Heading2"/>
      </w:pPr>
      <w:r>
        <w:t>6.1 Full Refund Scenarios</w:t>
      </w:r>
    </w:p>
    <w:p>
      <w:r>
        <w:t>Full refunds are typically approved for:</w:t>
        <w:br/>
        <w:t>• Service outages exceeding 24 hours</w:t>
        <w:br/>
        <w:t>• Confirmed duplicate charges</w:t>
        <w:br/>
        <w:t>• Service failures during critical business periods</w:t>
        <w:br/>
        <w:t>• Billing system errors resulting in overcharges</w:t>
        <w:br/>
        <w:t>• Premium customer service interruptions over 2 hours</w:t>
      </w:r>
    </w:p>
    <w:p>
      <w:pPr>
        <w:pStyle w:val="Heading2"/>
      </w:pPr>
      <w:r>
        <w:t>6.2 Partial Refund Scenarios</w:t>
      </w:r>
    </w:p>
    <w:p>
      <w:r>
        <w:t>Partial refunds may be appropriate for:</w:t>
        <w:br/>
        <w:t>• Service degradation between 2-24 hours</w:t>
        <w:br/>
        <w:t>• Pro-rated cancellations within service period</w:t>
        <w:br/>
        <w:t>• Performance issues affecting subset of features</w:t>
        <w:br/>
        <w:t>• Billing disputes with shared responsibility</w:t>
        <w:br/>
        <w:t>• Goodwill gestures for premium customers</w:t>
      </w:r>
    </w:p>
    <w:p>
      <w:pPr>
        <w:pStyle w:val="Heading2"/>
      </w:pPr>
      <w:r>
        <w:t>6.3 Alternative Resolutions</w:t>
      </w:r>
    </w:p>
    <w:p>
      <w:r>
        <w:t>Non-monetary resolutions include:</w:t>
        <w:br/>
        <w:t>• Account credits for future services</w:t>
        <w:br/>
        <w:t>• Service plan upgrades at no additional cost</w:t>
        <w:br/>
        <w:t>• Extended service periods</w:t>
        <w:br/>
        <w:t>• Waived setup or administrative fees</w:t>
        <w:br/>
        <w:t>• Priority support designation</w:t>
      </w:r>
    </w:p>
    <w:p>
      <w:pPr>
        <w:pStyle w:val="Heading1"/>
      </w:pPr>
      <w:r>
        <w:t>7. Approval Workflows</w:t>
      </w:r>
    </w:p>
    <w:p>
      <w:r>
        <w:t>Approval requirements are based on refund amount and customer tier: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Refund Amount</w:t>
            </w:r>
          </w:p>
        </w:tc>
        <w:tc>
          <w:tcPr>
            <w:tcW w:type="dxa" w:w="2160"/>
          </w:tcPr>
          <w:p>
            <w:r>
              <w:t>Standard Customers</w:t>
            </w:r>
          </w:p>
        </w:tc>
        <w:tc>
          <w:tcPr>
            <w:tcW w:type="dxa" w:w="2160"/>
          </w:tcPr>
          <w:p>
            <w:r>
              <w:t>Premium Customers</w:t>
            </w:r>
          </w:p>
        </w:tc>
        <w:tc>
          <w:tcPr>
            <w:tcW w:type="dxa" w:w="2160"/>
          </w:tcPr>
          <w:p>
            <w:r>
              <w:t>Enterprise Customers</w:t>
            </w:r>
          </w:p>
        </w:tc>
      </w:tr>
      <w:tr>
        <w:tc>
          <w:tcPr>
            <w:tcW w:type="dxa" w:w="2160"/>
          </w:tcPr>
          <w:p>
            <w:r>
              <w:t>$0 - $100</w:t>
            </w:r>
          </w:p>
        </w:tc>
        <w:tc>
          <w:tcPr>
            <w:tcW w:type="dxa" w:w="2160"/>
          </w:tcPr>
          <w:p>
            <w:r>
              <w:t>Agent</w:t>
            </w:r>
          </w:p>
        </w:tc>
        <w:tc>
          <w:tcPr>
            <w:tcW w:type="dxa" w:w="2160"/>
          </w:tcPr>
          <w:p>
            <w:r>
              <w:t>Agent</w:t>
            </w:r>
          </w:p>
        </w:tc>
        <w:tc>
          <w:tcPr>
            <w:tcW w:type="dxa" w:w="2160"/>
          </w:tcPr>
          <w:p>
            <w:r>
              <w:t>Agent</w:t>
            </w:r>
          </w:p>
        </w:tc>
      </w:tr>
      <w:tr>
        <w:tc>
          <w:tcPr>
            <w:tcW w:type="dxa" w:w="2160"/>
          </w:tcPr>
          <w:p>
            <w:r>
              <w:t>$101 - $500</w:t>
            </w:r>
          </w:p>
        </w:tc>
        <w:tc>
          <w:tcPr>
            <w:tcW w:type="dxa" w:w="2160"/>
          </w:tcPr>
          <w:p>
            <w:r>
              <w:t>Supervisor</w:t>
            </w:r>
          </w:p>
        </w:tc>
        <w:tc>
          <w:tcPr>
            <w:tcW w:type="dxa" w:w="2160"/>
          </w:tcPr>
          <w:p>
            <w:r>
              <w:t>Agent</w:t>
            </w:r>
          </w:p>
        </w:tc>
        <w:tc>
          <w:tcPr>
            <w:tcW w:type="dxa" w:w="2160"/>
          </w:tcPr>
          <w:p>
            <w:r>
              <w:t>Agent</w:t>
            </w:r>
          </w:p>
        </w:tc>
      </w:tr>
      <w:tr>
        <w:tc>
          <w:tcPr>
            <w:tcW w:type="dxa" w:w="2160"/>
          </w:tcPr>
          <w:p>
            <w:r>
              <w:t>$501 - $1,000</w:t>
            </w:r>
          </w:p>
        </w:tc>
        <w:tc>
          <w:tcPr>
            <w:tcW w:type="dxa" w:w="2160"/>
          </w:tcPr>
          <w:p>
            <w:r>
              <w:t>Manager</w:t>
            </w:r>
          </w:p>
        </w:tc>
        <w:tc>
          <w:tcPr>
            <w:tcW w:type="dxa" w:w="2160"/>
          </w:tcPr>
          <w:p>
            <w:r>
              <w:t>Supervisor</w:t>
            </w:r>
          </w:p>
        </w:tc>
        <w:tc>
          <w:tcPr>
            <w:tcW w:type="dxa" w:w="2160"/>
          </w:tcPr>
          <w:p>
            <w:r>
              <w:t>Account Manager</w:t>
            </w:r>
          </w:p>
        </w:tc>
      </w:tr>
      <w:tr>
        <w:tc>
          <w:tcPr>
            <w:tcW w:type="dxa" w:w="2160"/>
          </w:tcPr>
          <w:p>
            <w:r>
              <w:t>$1,001 - $5,000</w:t>
            </w:r>
          </w:p>
        </w:tc>
        <w:tc>
          <w:tcPr>
            <w:tcW w:type="dxa" w:w="2160"/>
          </w:tcPr>
          <w:p>
            <w:r>
              <w:t>Director</w:t>
            </w:r>
          </w:p>
        </w:tc>
        <w:tc>
          <w:tcPr>
            <w:tcW w:type="dxa" w:w="2160"/>
          </w:tcPr>
          <w:p>
            <w:r>
              <w:t>Manager</w:t>
            </w:r>
          </w:p>
        </w:tc>
        <w:tc>
          <w:tcPr>
            <w:tcW w:type="dxa" w:w="2160"/>
          </w:tcPr>
          <w:p>
            <w:r>
              <w:t>Account Manager</w:t>
            </w:r>
          </w:p>
        </w:tc>
      </w:tr>
      <w:tr>
        <w:tc>
          <w:tcPr>
            <w:tcW w:type="dxa" w:w="2160"/>
          </w:tcPr>
          <w:p>
            <w:r>
              <w:t>$5,001+</w:t>
            </w:r>
          </w:p>
        </w:tc>
        <w:tc>
          <w:tcPr>
            <w:tcW w:type="dxa" w:w="2160"/>
          </w:tcPr>
          <w:p>
            <w:r>
              <w:t>VP Approval</w:t>
            </w:r>
          </w:p>
        </w:tc>
        <w:tc>
          <w:tcPr>
            <w:tcW w:type="dxa" w:w="2160"/>
          </w:tcPr>
          <w:p>
            <w:r>
              <w:t>Director</w:t>
            </w:r>
          </w:p>
        </w:tc>
        <w:tc>
          <w:tcPr>
            <w:tcW w:type="dxa" w:w="2160"/>
          </w:tcPr>
          <w:p>
            <w:r>
              <w:t>VP + Legal Review</w:t>
            </w:r>
          </w:p>
        </w:tc>
      </w:tr>
    </w:tbl>
    <w:p>
      <w:pPr>
        <w:pStyle w:val="Heading1"/>
      </w:pPr>
      <w:r>
        <w:t>8. Documentation Requirements</w:t>
      </w:r>
    </w:p>
    <w:p>
      <w:r>
        <w:t>All dispute resolutions must be documented with:</w:t>
        <w:br/>
        <w:t>• Case reference number and timestamps</w:t>
        <w:br/>
        <w:t>• Customer information and tier classification</w:t>
        <w:br/>
        <w:t>• Dispute category and detailed description</w:t>
        <w:br/>
        <w:t>• Evidence collected and analysis performed</w:t>
        <w:br/>
        <w:t>• Resolution decision and approval chain</w:t>
        <w:br/>
        <w:t>• Customer communication log</w:t>
        <w:br/>
        <w:t>• Follow-up actions and prevention measures</w:t>
      </w:r>
    </w:p>
    <w:p>
      <w:pPr>
        <w:pStyle w:val="Heading1"/>
      </w:pPr>
      <w:r>
        <w:t>9. Escalation Procedures</w:t>
      </w:r>
    </w:p>
    <w:p>
      <w:r>
        <w:t>Escalation triggers include:</w:t>
        <w:br/>
        <w:t>• Customer dissatisfaction with initial resolution</w:t>
        <w:br/>
        <w:t>• Disputes exceeding standard resolution timeframes</w:t>
        <w:br/>
        <w:t>• Legal or regulatory implications</w:t>
        <w:br/>
        <w:t>• Potential precedent-setting cases</w:t>
        <w:br/>
        <w:t>• Media or social media attention</w:t>
        <w:br/>
        <w:t>• Requests for executive review</w:t>
      </w:r>
    </w:p>
    <w:p>
      <w:r>
        <w:t>Escalation path:</w:t>
        <w:br/>
        <w:t>1. Team Lead (immediate escalation)</w:t>
        <w:br/>
        <w:t>2. Department Manager (within 4 hours)</w:t>
        <w:br/>
        <w:t>3. Director of Customer Success (within 24 hours)</w:t>
        <w:br/>
        <w:t>4. VP of Operations (within 48 hours)</w:t>
        <w:br/>
        <w:t>5. Executive Team (as needed)</w:t>
      </w:r>
    </w:p>
    <w:p>
      <w:pPr>
        <w:pStyle w:val="Heading1"/>
      </w:pPr>
      <w:r>
        <w:t>10. Appeals Process</w:t>
      </w:r>
    </w:p>
    <w:p>
      <w:r>
        <w:t>Customers may appeal dispute resolutions within 30 days of notification. Appeals must include:</w:t>
        <w:br/>
        <w:t>• Original case reference number</w:t>
        <w:br/>
        <w:t>• Specific grounds for appeal</w:t>
        <w:br/>
        <w:t>• Additional evidence or documentation</w:t>
        <w:br/>
        <w:t>• Requested resolution outcome</w:t>
      </w:r>
    </w:p>
    <w:p>
      <w:r>
        <w:t>Appeals are reviewed by:</w:t>
        <w:br/>
        <w:t>• Independent review committee</w:t>
        <w:br/>
        <w:t>• Senior management not involved in original decision</w:t>
        <w:br/>
        <w:t>• Legal counsel for complex cases</w:t>
        <w:br/>
        <w:t>• Customer advocacy representative</w:t>
      </w:r>
    </w:p>
    <w:p>
      <w:r>
        <w:br w:type="page"/>
      </w:r>
    </w:p>
    <w:p>
      <w:pPr>
        <w:pStyle w:val="Heading1"/>
      </w:pPr>
      <w:r>
        <w:t>Document Control</w:t>
      </w:r>
    </w:p>
    <w:p>
      <w:r>
        <w:t>This document is reviewed quarterly and updated as needed.</w:t>
      </w:r>
    </w:p>
    <w:p>
      <w:r>
        <w:t>Next scheduled review: March 2025</w:t>
      </w:r>
    </w:p>
    <w:p>
      <w:r>
        <w:t>Document owner: Director of Customer Success</w:t>
      </w:r>
    </w:p>
    <w:p>
      <w:r>
        <w:t>Approved by: VP of Operations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