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Historical Dispute Resolution Case Studies</w:t>
      </w:r>
    </w:p>
    <w:p>
      <w:r>
        <w:t>Document Version: 1.0</w:t>
      </w:r>
    </w:p>
    <w:p>
      <w:r>
        <w:t>Generated Date: July 11, 2025</w:t>
      </w:r>
    </w:p>
    <w:p>
      <w:r>
        <w:t>Department: Customer Success &amp; Analytics</w:t>
      </w:r>
    </w:p>
    <w:p>
      <w:r>
        <w:t>Purpose: Training and AI Model Reference</w:t>
      </w:r>
    </w:p>
    <w:p>
      <w:r>
        <w:br w:type="page"/>
      </w:r>
    </w:p>
    <w:p>
      <w:pPr>
        <w:pStyle w:val="Heading1"/>
      </w:pPr>
      <w:r>
        <w:t>1. Document Overview</w:t>
      </w:r>
    </w:p>
    <w:p>
      <w:r>
        <w:t>This document contains historical dispute resolution case studies that serve as reference material for training customer service representatives and AI dispute resolution systems. Each case study includes the dispute details, resolution decision, and reasoning.</w:t>
      </w:r>
    </w:p>
    <w:p>
      <w:r>
        <w:t>These case studies represent real-world scenarios and demonstrate best practices for dispute resolution across different customer segments and dispute types.</w:t>
      </w:r>
    </w:p>
    <w:p>
      <w:pPr>
        <w:pStyle w:val="Heading1"/>
      </w:pPr>
      <w:r>
        <w:t>2. Resolution Summary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Resolution Type</w:t>
            </w:r>
          </w:p>
        </w:tc>
        <w:tc>
          <w:tcPr>
            <w:tcW w:type="dxa" w:w="2160"/>
          </w:tcPr>
          <w:p>
            <w:r>
              <w:t>Count</w:t>
            </w:r>
          </w:p>
        </w:tc>
        <w:tc>
          <w:tcPr>
            <w:tcW w:type="dxa" w:w="2160"/>
          </w:tcPr>
          <w:p>
            <w:r>
              <w:t>Average Amount</w:t>
            </w:r>
          </w:p>
        </w:tc>
        <w:tc>
          <w:tcPr>
            <w:tcW w:type="dxa" w:w="2160"/>
          </w:tcPr>
          <w:p>
            <w:r>
              <w:t>Success Rate</w:t>
            </w:r>
          </w:p>
        </w:tc>
      </w:tr>
      <w:tr>
        <w:tc>
          <w:tcPr>
            <w:tcW w:type="dxa" w:w="2160"/>
          </w:tcPr>
          <w:p>
            <w:r>
              <w:t>Full Refund</w:t>
            </w:r>
          </w:p>
        </w:tc>
        <w:tc>
          <w:tcPr>
            <w:tcW w:type="dxa" w:w="2160"/>
          </w:tcPr>
          <w:p>
            <w:r>
              <w:t>3</w:t>
            </w:r>
          </w:p>
        </w:tc>
        <w:tc>
          <w:tcPr>
            <w:tcW w:type="dxa" w:w="2160"/>
          </w:tcPr>
          <w:p>
            <w:r>
              <w:t>$176.32</w:t>
            </w:r>
          </w:p>
        </w:tc>
        <w:tc>
          <w:tcPr>
            <w:tcW w:type="dxa" w:w="2160"/>
          </w:tcPr>
          <w:p>
            <w:r>
              <w:t>95%</w:t>
            </w:r>
          </w:p>
        </w:tc>
      </w:tr>
      <w:tr>
        <w:tc>
          <w:tcPr>
            <w:tcW w:type="dxa" w:w="2160"/>
          </w:tcPr>
          <w:p>
            <w:r>
              <w:t>Partial Refund</w:t>
            </w:r>
          </w:p>
        </w:tc>
        <w:tc>
          <w:tcPr>
            <w:tcW w:type="dxa" w:w="2160"/>
          </w:tcPr>
          <w:p>
            <w:r>
              <w:t>2</w:t>
            </w:r>
          </w:p>
        </w:tc>
        <w:tc>
          <w:tcPr>
            <w:tcW w:type="dxa" w:w="2160"/>
          </w:tcPr>
          <w:p>
            <w:r>
              <w:t>$324.99</w:t>
            </w:r>
          </w:p>
        </w:tc>
        <w:tc>
          <w:tcPr>
            <w:tcW w:type="dxa" w:w="2160"/>
          </w:tcPr>
          <w:p>
            <w:r>
              <w:t>90%</w:t>
            </w:r>
          </w:p>
        </w:tc>
      </w:tr>
      <w:tr>
        <w:tc>
          <w:tcPr>
            <w:tcW w:type="dxa" w:w="2160"/>
          </w:tcPr>
          <w:p>
            <w:r>
              <w:t>Account Credit</w:t>
            </w:r>
          </w:p>
        </w:tc>
        <w:tc>
          <w:tcPr>
            <w:tcW w:type="dxa" w:w="2160"/>
          </w:tcPr>
          <w:p>
            <w:r>
              <w:t>1</w:t>
            </w:r>
          </w:p>
        </w:tc>
        <w:tc>
          <w:tcPr>
            <w:tcW w:type="dxa" w:w="2160"/>
          </w:tcPr>
          <w:p>
            <w:r>
              <w:t>$199.99</w:t>
            </w:r>
          </w:p>
        </w:tc>
        <w:tc>
          <w:tcPr>
            <w:tcW w:type="dxa" w:w="2160"/>
          </w:tcPr>
          <w:p>
            <w:r>
              <w:t>100%</w:t>
            </w:r>
          </w:p>
        </w:tc>
      </w:tr>
      <w:tr>
        <w:tc>
          <w:tcPr>
            <w:tcW w:type="dxa" w:w="2160"/>
          </w:tcPr>
          <w:p>
            <w:r>
              <w:t>Deny Refund</w:t>
            </w:r>
          </w:p>
        </w:tc>
        <w:tc>
          <w:tcPr>
            <w:tcW w:type="dxa" w:w="2160"/>
          </w:tcPr>
          <w:p>
            <w:r>
              <w:t>1</w:t>
            </w:r>
          </w:p>
        </w:tc>
        <w:tc>
          <w:tcPr>
            <w:tcW w:type="dxa" w:w="2160"/>
          </w:tcPr>
          <w:p>
            <w:r>
              <w:t>$79.99</w:t>
            </w:r>
          </w:p>
        </w:tc>
        <w:tc>
          <w:tcPr>
            <w:tcW w:type="dxa" w:w="2160"/>
          </w:tcPr>
          <w:p>
            <w:r>
              <w:t>85%</w:t>
            </w:r>
          </w:p>
        </w:tc>
      </w:tr>
    </w:tbl>
    <w:p>
      <w:r>
        <w:br w:type="page"/>
      </w:r>
    </w:p>
    <w:p>
      <w:pPr>
        <w:pStyle w:val="Heading1"/>
      </w:pPr>
      <w:r>
        <w:t>3. Detailed Case Studies</w:t>
      </w:r>
    </w:p>
    <w:p>
      <w:pPr>
        <w:pStyle w:val="Heading2"/>
      </w:pPr>
      <w:r>
        <w:t>3.1 Case Study: SF-2023-001</w:t>
      </w:r>
    </w:p>
    <w:tbl>
      <w:tblPr>
        <w:tblStyle w:val="TableGrid"/>
        <w:tblW w:type="auto" w:w="0"/>
        <w:tblLook w:firstColumn="1" w:firstRow="1" w:lastColumn="0" w:lastRow="0" w:noHBand="0" w:noVBand="1" w:val="04A0"/>
      </w:tblPr>
      <w:tblGrid>
        <w:gridCol w:w="4320"/>
        <w:gridCol w:w="4320"/>
      </w:tblGrid>
      <w:tr>
        <w:tc>
          <w:tcPr>
            <w:tcW w:type="dxa" w:w="4320"/>
          </w:tcPr>
          <w:p>
            <w:r>
              <w:t>Case ID</w:t>
            </w:r>
          </w:p>
        </w:tc>
        <w:tc>
          <w:tcPr>
            <w:tcW w:type="dxa" w:w="4320"/>
          </w:tcPr>
          <w:p>
            <w:r>
              <w:t>SF-2023-001</w:t>
            </w:r>
          </w:p>
        </w:tc>
      </w:tr>
      <w:tr>
        <w:tc>
          <w:tcPr>
            <w:tcW w:type="dxa" w:w="4320"/>
          </w:tcPr>
          <w:p>
            <w:r>
              <w:t>Dispute Type</w:t>
            </w:r>
          </w:p>
        </w:tc>
        <w:tc>
          <w:tcPr>
            <w:tcW w:type="dxa" w:w="4320"/>
          </w:tcPr>
          <w:p>
            <w:r>
              <w:t>Service Outage</w:t>
            </w:r>
          </w:p>
        </w:tc>
      </w:tr>
      <w:tr>
        <w:tc>
          <w:tcPr>
            <w:tcW w:type="dxa" w:w="4320"/>
          </w:tcPr>
          <w:p>
            <w:r>
              <w:t>Amount</w:t>
            </w:r>
          </w:p>
        </w:tc>
        <w:tc>
          <w:tcPr>
            <w:tcW w:type="dxa" w:w="4320"/>
          </w:tcPr>
          <w:p>
            <w:r>
              <w:t>$89.99</w:t>
            </w:r>
          </w:p>
        </w:tc>
      </w:tr>
      <w:tr>
        <w:tc>
          <w:tcPr>
            <w:tcW w:type="dxa" w:w="4320"/>
          </w:tcPr>
          <w:p>
            <w:r>
              <w:t>Customer Segment</w:t>
            </w:r>
          </w:p>
        </w:tc>
        <w:tc>
          <w:tcPr>
            <w:tcW w:type="dxa" w:w="4320"/>
          </w:tcPr>
          <w:p>
            <w:r>
              <w:t>Premium</w:t>
            </w:r>
          </w:p>
        </w:tc>
      </w:tr>
      <w:tr>
        <w:tc>
          <w:tcPr>
            <w:tcW w:type="dxa" w:w="4320"/>
          </w:tcPr>
          <w:p>
            <w:r>
              <w:t>Resolution</w:t>
            </w:r>
          </w:p>
        </w:tc>
        <w:tc>
          <w:tcPr>
            <w:tcW w:type="dxa" w:w="4320"/>
          </w:tcPr>
          <w:p>
            <w:r>
              <w:t>Full Refund</w:t>
            </w:r>
          </w:p>
        </w:tc>
      </w:tr>
      <w:tr>
        <w:tc>
          <w:tcPr>
            <w:tcW w:type="dxa" w:w="4320"/>
          </w:tcPr>
          <w:p>
            <w:r>
              <w:t>Date</w:t>
            </w:r>
          </w:p>
        </w:tc>
        <w:tc>
          <w:tcPr>
            <w:tcW w:type="dxa" w:w="4320"/>
          </w:tcPr>
          <w:p>
            <w:r>
              <w:t>2023-12-15</w:t>
            </w:r>
          </w:p>
        </w:tc>
      </w:tr>
    </w:tbl>
    <w:p>
      <w:pPr>
        <w:pStyle w:val="Heading3"/>
      </w:pPr>
      <w:r>
        <w:t>Situation Description</w:t>
      </w:r>
    </w:p>
    <w:p>
      <w:r>
        <w:t>Service outage for 3 days due to infrastructure failure. Customer was unable to access the platform during this period.</w:t>
      </w:r>
    </w:p>
    <w:p>
      <w:pPr>
        <w:pStyle w:val="Heading3"/>
      </w:pPr>
      <w:r>
        <w:t>Resolution Analysis</w:t>
      </w:r>
    </w:p>
    <w:p>
      <w:r>
        <w:t>This case warranted a full refund due to clear service failure and customer impact. The decision aligns with our commitment to customer satisfaction and service quality standards. As a premium customer, expedited processing and enhanced communication were provided.</w:t>
      </w:r>
    </w:p>
    <w:p>
      <w:pPr>
        <w:pStyle w:val="Heading3"/>
      </w:pPr>
      <w:r>
        <w:t>Key Learnings</w:t>
      </w:r>
    </w:p>
    <w:p>
      <w:r>
        <w:t>• Monitor service availability closely</w:t>
        <w:br/>
        <w:t>• Proactive customer communication during outages</w:t>
        <w:br/>
        <w:t>• Clear escalation procedures for extended outages</w:t>
        <w:br/>
        <w:t>• Premium customers require enhanced service levels</w:t>
        <w:br/>
        <w:t>• Quick resolution builds loyalty</w:t>
      </w:r>
    </w:p>
    <w:p>
      <w:r>
        <w:t>──────────────────────────────────────────────────</w:t>
      </w:r>
    </w:p>
    <w:p>
      <w:pPr>
        <w:pStyle w:val="Heading2"/>
      </w:pPr>
      <w:r>
        <w:t>3.2 Case Study: SF-2023-002</w:t>
      </w:r>
    </w:p>
    <w:tbl>
      <w:tblPr>
        <w:tblStyle w:val="TableGrid"/>
        <w:tblW w:type="auto" w:w="0"/>
        <w:tblLook w:firstColumn="1" w:firstRow="1" w:lastColumn="0" w:lastRow="0" w:noHBand="0" w:noVBand="1" w:val="04A0"/>
      </w:tblPr>
      <w:tblGrid>
        <w:gridCol w:w="4320"/>
        <w:gridCol w:w="4320"/>
      </w:tblGrid>
      <w:tr>
        <w:tc>
          <w:tcPr>
            <w:tcW w:type="dxa" w:w="4320"/>
          </w:tcPr>
          <w:p>
            <w:r>
              <w:t>Case ID</w:t>
            </w:r>
          </w:p>
        </w:tc>
        <w:tc>
          <w:tcPr>
            <w:tcW w:type="dxa" w:w="4320"/>
          </w:tcPr>
          <w:p>
            <w:r>
              <w:t>SF-2023-002</w:t>
            </w:r>
          </w:p>
        </w:tc>
      </w:tr>
      <w:tr>
        <w:tc>
          <w:tcPr>
            <w:tcW w:type="dxa" w:w="4320"/>
          </w:tcPr>
          <w:p>
            <w:r>
              <w:t>Dispute Type</w:t>
            </w:r>
          </w:p>
        </w:tc>
        <w:tc>
          <w:tcPr>
            <w:tcW w:type="dxa" w:w="4320"/>
          </w:tcPr>
          <w:p>
            <w:r>
              <w:t>Billing Dispute</w:t>
            </w:r>
          </w:p>
        </w:tc>
      </w:tr>
      <w:tr>
        <w:tc>
          <w:tcPr>
            <w:tcW w:type="dxa" w:w="4320"/>
          </w:tcPr>
          <w:p>
            <w:r>
              <w:t>Amount</w:t>
            </w:r>
          </w:p>
        </w:tc>
        <w:tc>
          <w:tcPr>
            <w:tcW w:type="dxa" w:w="4320"/>
          </w:tcPr>
          <w:p>
            <w:r>
              <w:t>$149.99</w:t>
            </w:r>
          </w:p>
        </w:tc>
      </w:tr>
      <w:tr>
        <w:tc>
          <w:tcPr>
            <w:tcW w:type="dxa" w:w="4320"/>
          </w:tcPr>
          <w:p>
            <w:r>
              <w:t>Customer Segment</w:t>
            </w:r>
          </w:p>
        </w:tc>
        <w:tc>
          <w:tcPr>
            <w:tcW w:type="dxa" w:w="4320"/>
          </w:tcPr>
          <w:p>
            <w:r>
              <w:t>Standard</w:t>
            </w:r>
          </w:p>
        </w:tc>
      </w:tr>
      <w:tr>
        <w:tc>
          <w:tcPr>
            <w:tcW w:type="dxa" w:w="4320"/>
          </w:tcPr>
          <w:p>
            <w:r>
              <w:t>Resolution</w:t>
            </w:r>
          </w:p>
        </w:tc>
        <w:tc>
          <w:tcPr>
            <w:tcW w:type="dxa" w:w="4320"/>
          </w:tcPr>
          <w:p>
            <w:r>
              <w:t>Partial Refund</w:t>
            </w:r>
          </w:p>
        </w:tc>
      </w:tr>
      <w:tr>
        <w:tc>
          <w:tcPr>
            <w:tcW w:type="dxa" w:w="4320"/>
          </w:tcPr>
          <w:p>
            <w:r>
              <w:t>Date</w:t>
            </w:r>
          </w:p>
        </w:tc>
        <w:tc>
          <w:tcPr>
            <w:tcW w:type="dxa" w:w="4320"/>
          </w:tcPr>
          <w:p>
            <w:r>
              <w:t>2023-12-10</w:t>
            </w:r>
          </w:p>
        </w:tc>
      </w:tr>
    </w:tbl>
    <w:p>
      <w:pPr>
        <w:pStyle w:val="Heading3"/>
      </w:pPr>
      <w:r>
        <w:t>Situation Description</w:t>
      </w:r>
    </w:p>
    <w:p>
      <w:r>
        <w:t>Partial service degradation for 12 hours. Customer experienced intermittent connectivity issues.</w:t>
      </w:r>
    </w:p>
    <w:p>
      <w:pPr>
        <w:pStyle w:val="Heading3"/>
      </w:pPr>
      <w:r>
        <w:t>Resolution Analysis</w:t>
      </w:r>
    </w:p>
    <w:p>
      <w:r>
        <w:t>A partial refund was appropriate given the limited scope of the issue and shared circumstances. This balanced approach maintains customer goodwill while recognizing partial service delivery.</w:t>
      </w:r>
    </w:p>
    <w:p>
      <w:pPr>
        <w:pStyle w:val="Heading3"/>
      </w:pPr>
      <w:r>
        <w:t>Key Learnings</w:t>
      </w:r>
    </w:p>
    <w:p>
      <w:r>
        <w:t>• Regular billing system audits</w:t>
        <w:br/>
        <w:t>• Clear billing documentation for customers</w:t>
        <w:br/>
        <w:t>• Quick response to billing inquiries</w:t>
      </w:r>
    </w:p>
    <w:p>
      <w:r>
        <w:t>──────────────────────────────────────────────────</w:t>
      </w:r>
    </w:p>
    <w:p>
      <w:pPr>
        <w:pStyle w:val="Heading2"/>
      </w:pPr>
      <w:r>
        <w:t>3.3 Case Study: SF-2023-003</w:t>
      </w:r>
    </w:p>
    <w:tbl>
      <w:tblPr>
        <w:tblStyle w:val="TableGrid"/>
        <w:tblW w:type="auto" w:w="0"/>
        <w:tblLook w:firstColumn="1" w:firstRow="1" w:lastColumn="0" w:lastRow="0" w:noHBand="0" w:noVBand="1" w:val="04A0"/>
      </w:tblPr>
      <w:tblGrid>
        <w:gridCol w:w="4320"/>
        <w:gridCol w:w="4320"/>
      </w:tblGrid>
      <w:tr>
        <w:tc>
          <w:tcPr>
            <w:tcW w:type="dxa" w:w="4320"/>
          </w:tcPr>
          <w:p>
            <w:r>
              <w:t>Case ID</w:t>
            </w:r>
          </w:p>
        </w:tc>
        <w:tc>
          <w:tcPr>
            <w:tcW w:type="dxa" w:w="4320"/>
          </w:tcPr>
          <w:p>
            <w:r>
              <w:t>SF-2023-003</w:t>
            </w:r>
          </w:p>
        </w:tc>
      </w:tr>
      <w:tr>
        <w:tc>
          <w:tcPr>
            <w:tcW w:type="dxa" w:w="4320"/>
          </w:tcPr>
          <w:p>
            <w:r>
              <w:t>Dispute Type</w:t>
            </w:r>
          </w:p>
        </w:tc>
        <w:tc>
          <w:tcPr>
            <w:tcW w:type="dxa" w:w="4320"/>
          </w:tcPr>
          <w:p>
            <w:r>
              <w:t>Duplicate Charge</w:t>
            </w:r>
          </w:p>
        </w:tc>
      </w:tr>
      <w:tr>
        <w:tc>
          <w:tcPr>
            <w:tcW w:type="dxa" w:w="4320"/>
          </w:tcPr>
          <w:p>
            <w:r>
              <w:t>Amount</w:t>
            </w:r>
          </w:p>
        </w:tc>
        <w:tc>
          <w:tcPr>
            <w:tcW w:type="dxa" w:w="4320"/>
          </w:tcPr>
          <w:p>
            <w:r>
              <w:t>$59.99</w:t>
            </w:r>
          </w:p>
        </w:tc>
      </w:tr>
      <w:tr>
        <w:tc>
          <w:tcPr>
            <w:tcW w:type="dxa" w:w="4320"/>
          </w:tcPr>
          <w:p>
            <w:r>
              <w:t>Customer Segment</w:t>
            </w:r>
          </w:p>
        </w:tc>
        <w:tc>
          <w:tcPr>
            <w:tcW w:type="dxa" w:w="4320"/>
          </w:tcPr>
          <w:p>
            <w:r>
              <w:t>Standard</w:t>
            </w:r>
          </w:p>
        </w:tc>
      </w:tr>
      <w:tr>
        <w:tc>
          <w:tcPr>
            <w:tcW w:type="dxa" w:w="4320"/>
          </w:tcPr>
          <w:p>
            <w:r>
              <w:t>Resolution</w:t>
            </w:r>
          </w:p>
        </w:tc>
        <w:tc>
          <w:tcPr>
            <w:tcW w:type="dxa" w:w="4320"/>
          </w:tcPr>
          <w:p>
            <w:r>
              <w:t>Full Refund</w:t>
            </w:r>
          </w:p>
        </w:tc>
      </w:tr>
      <w:tr>
        <w:tc>
          <w:tcPr>
            <w:tcW w:type="dxa" w:w="4320"/>
          </w:tcPr>
          <w:p>
            <w:r>
              <w:t>Date</w:t>
            </w:r>
          </w:p>
        </w:tc>
        <w:tc>
          <w:tcPr>
            <w:tcW w:type="dxa" w:w="4320"/>
          </w:tcPr>
          <w:p>
            <w:r>
              <w:t>2023-12-05</w:t>
            </w:r>
          </w:p>
        </w:tc>
      </w:tr>
    </w:tbl>
    <w:p>
      <w:pPr>
        <w:pStyle w:val="Heading3"/>
      </w:pPr>
      <w:r>
        <w:t>Situation Description</w:t>
      </w:r>
    </w:p>
    <w:p>
      <w:r>
        <w:t>Customer was charged twice for the same service. Confirmed duplicate transaction in payment system.</w:t>
      </w:r>
    </w:p>
    <w:p>
      <w:pPr>
        <w:pStyle w:val="Heading3"/>
      </w:pPr>
      <w:r>
        <w:t>Resolution Analysis</w:t>
      </w:r>
    </w:p>
    <w:p>
      <w:r>
        <w:t>This case warranted a full refund due to clear service failure and customer impact. The decision aligns with our commitment to customer satisfaction and service quality standards.</w:t>
      </w:r>
    </w:p>
    <w:p>
      <w:pPr>
        <w:pStyle w:val="Heading3"/>
      </w:pPr>
      <w:r>
        <w:t>Key Learnings</w:t>
      </w:r>
    </w:p>
    <w:p>
      <w:r>
        <w:t>• Implement duplicate charge prevention</w:t>
        <w:br/>
        <w:t>• Automated detection systems</w:t>
        <w:br/>
        <w:t>• Quick resolution processes for clear errors</w:t>
      </w:r>
    </w:p>
    <w:p>
      <w:r>
        <w:t>──────────────────────────────────────────────────</w:t>
      </w:r>
    </w:p>
    <w:p>
      <w:pPr>
        <w:pStyle w:val="Heading2"/>
      </w:pPr>
      <w:r>
        <w:t>3.4 Case Study: SF-2023-004</w:t>
      </w:r>
    </w:p>
    <w:tbl>
      <w:tblPr>
        <w:tblStyle w:val="TableGrid"/>
        <w:tblW w:type="auto" w:w="0"/>
        <w:tblLook w:firstColumn="1" w:firstRow="1" w:lastColumn="0" w:lastRow="0" w:noHBand="0" w:noVBand="1" w:val="04A0"/>
      </w:tblPr>
      <w:tblGrid>
        <w:gridCol w:w="4320"/>
        <w:gridCol w:w="4320"/>
      </w:tblGrid>
      <w:tr>
        <w:tc>
          <w:tcPr>
            <w:tcW w:type="dxa" w:w="4320"/>
          </w:tcPr>
          <w:p>
            <w:r>
              <w:t>Case ID</w:t>
            </w:r>
          </w:p>
        </w:tc>
        <w:tc>
          <w:tcPr>
            <w:tcW w:type="dxa" w:w="4320"/>
          </w:tcPr>
          <w:p>
            <w:r>
              <w:t>SF-2023-004</w:t>
            </w:r>
          </w:p>
        </w:tc>
      </w:tr>
      <w:tr>
        <w:tc>
          <w:tcPr>
            <w:tcW w:type="dxa" w:w="4320"/>
          </w:tcPr>
          <w:p>
            <w:r>
              <w:t>Dispute Type</w:t>
            </w:r>
          </w:p>
        </w:tc>
        <w:tc>
          <w:tcPr>
            <w:tcW w:type="dxa" w:w="4320"/>
          </w:tcPr>
          <w:p>
            <w:r>
              <w:t>Subscription Cancellation</w:t>
            </w:r>
          </w:p>
        </w:tc>
      </w:tr>
      <w:tr>
        <w:tc>
          <w:tcPr>
            <w:tcW w:type="dxa" w:w="4320"/>
          </w:tcPr>
          <w:p>
            <w:r>
              <w:t>Amount</w:t>
            </w:r>
          </w:p>
        </w:tc>
        <w:tc>
          <w:tcPr>
            <w:tcW w:type="dxa" w:w="4320"/>
          </w:tcPr>
          <w:p>
            <w:r>
              <w:t>$299.99</w:t>
            </w:r>
          </w:p>
        </w:tc>
      </w:tr>
      <w:tr>
        <w:tc>
          <w:tcPr>
            <w:tcW w:type="dxa" w:w="4320"/>
          </w:tcPr>
          <w:p>
            <w:r>
              <w:t>Customer Segment</w:t>
            </w:r>
          </w:p>
        </w:tc>
        <w:tc>
          <w:tcPr>
            <w:tcW w:type="dxa" w:w="4320"/>
          </w:tcPr>
          <w:p>
            <w:r>
              <w:t>Premium</w:t>
            </w:r>
          </w:p>
        </w:tc>
      </w:tr>
      <w:tr>
        <w:tc>
          <w:tcPr>
            <w:tcW w:type="dxa" w:w="4320"/>
          </w:tcPr>
          <w:p>
            <w:r>
              <w:t>Resolution</w:t>
            </w:r>
          </w:p>
        </w:tc>
        <w:tc>
          <w:tcPr>
            <w:tcW w:type="dxa" w:w="4320"/>
          </w:tcPr>
          <w:p>
            <w:r>
              <w:t>Partial Refund</w:t>
            </w:r>
          </w:p>
        </w:tc>
      </w:tr>
      <w:tr>
        <w:tc>
          <w:tcPr>
            <w:tcW w:type="dxa" w:w="4320"/>
          </w:tcPr>
          <w:p>
            <w:r>
              <w:t>Date</w:t>
            </w:r>
          </w:p>
        </w:tc>
        <w:tc>
          <w:tcPr>
            <w:tcW w:type="dxa" w:w="4320"/>
          </w:tcPr>
          <w:p>
            <w:r>
              <w:t>2023-11-30</w:t>
            </w:r>
          </w:p>
        </w:tc>
      </w:tr>
    </w:tbl>
    <w:p>
      <w:pPr>
        <w:pStyle w:val="Heading3"/>
      </w:pPr>
      <w:r>
        <w:t>Situation Description</w:t>
      </w:r>
    </w:p>
    <w:p>
      <w:r>
        <w:t>Customer cancelled subscription mid-month. Pro-rated refund for unused service period.</w:t>
      </w:r>
    </w:p>
    <w:p>
      <w:pPr>
        <w:pStyle w:val="Heading3"/>
      </w:pPr>
      <w:r>
        <w:t>Resolution Analysis</w:t>
      </w:r>
    </w:p>
    <w:p>
      <w:r>
        <w:t>A partial refund was appropriate given the limited scope of the issue and shared circumstances. This balanced approach maintains customer goodwill while recognizing partial service delivery. As a premium customer, expedited processing and enhanced communication were provided.</w:t>
      </w:r>
    </w:p>
    <w:p>
      <w:pPr>
        <w:pStyle w:val="Heading3"/>
      </w:pPr>
      <w:r>
        <w:t>Key Learnings</w:t>
      </w:r>
    </w:p>
    <w:p>
      <w:r>
        <w:t>• Clear cancellation policies</w:t>
        <w:br/>
        <w:t>• Proactive retention efforts</w:t>
        <w:br/>
        <w:t>• Fair pro-rating calculations</w:t>
        <w:br/>
        <w:t>• Premium customers require enhanced service levels</w:t>
        <w:br/>
        <w:t>• Quick resolution builds loyalty</w:t>
      </w:r>
    </w:p>
    <w:p>
      <w:r>
        <w:t>──────────────────────────────────────────────────</w:t>
      </w:r>
    </w:p>
    <w:p>
      <w:pPr>
        <w:pStyle w:val="Heading2"/>
      </w:pPr>
      <w:r>
        <w:t>3.5 Case Study: SF-2023-005</w:t>
      </w:r>
    </w:p>
    <w:tbl>
      <w:tblPr>
        <w:tblStyle w:val="TableGrid"/>
        <w:tblW w:type="auto" w:w="0"/>
        <w:tblLook w:firstColumn="1" w:firstRow="1" w:lastColumn="0" w:lastRow="0" w:noHBand="0" w:noVBand="1" w:val="04A0"/>
      </w:tblPr>
      <w:tblGrid>
        <w:gridCol w:w="4320"/>
        <w:gridCol w:w="4320"/>
      </w:tblGrid>
      <w:tr>
        <w:tc>
          <w:tcPr>
            <w:tcW w:type="dxa" w:w="4320"/>
          </w:tcPr>
          <w:p>
            <w:r>
              <w:t>Case ID</w:t>
            </w:r>
          </w:p>
        </w:tc>
        <w:tc>
          <w:tcPr>
            <w:tcW w:type="dxa" w:w="4320"/>
          </w:tcPr>
          <w:p>
            <w:r>
              <w:t>SF-2023-005</w:t>
            </w:r>
          </w:p>
        </w:tc>
      </w:tr>
      <w:tr>
        <w:tc>
          <w:tcPr>
            <w:tcW w:type="dxa" w:w="4320"/>
          </w:tcPr>
          <w:p>
            <w:r>
              <w:t>Dispute Type</w:t>
            </w:r>
          </w:p>
        </w:tc>
        <w:tc>
          <w:tcPr>
            <w:tcW w:type="dxa" w:w="4320"/>
          </w:tcPr>
          <w:p>
            <w:r>
              <w:t>Service Quality</w:t>
            </w:r>
          </w:p>
        </w:tc>
      </w:tr>
      <w:tr>
        <w:tc>
          <w:tcPr>
            <w:tcW w:type="dxa" w:w="4320"/>
          </w:tcPr>
          <w:p>
            <w:r>
              <w:t>Amount</w:t>
            </w:r>
          </w:p>
        </w:tc>
        <w:tc>
          <w:tcPr>
            <w:tcW w:type="dxa" w:w="4320"/>
          </w:tcPr>
          <w:p>
            <w:r>
              <w:t>$199.99</w:t>
            </w:r>
          </w:p>
        </w:tc>
      </w:tr>
      <w:tr>
        <w:tc>
          <w:tcPr>
            <w:tcW w:type="dxa" w:w="4320"/>
          </w:tcPr>
          <w:p>
            <w:r>
              <w:t>Customer Segment</w:t>
            </w:r>
          </w:p>
        </w:tc>
        <w:tc>
          <w:tcPr>
            <w:tcW w:type="dxa" w:w="4320"/>
          </w:tcPr>
          <w:p>
            <w:r>
              <w:t>Enterprise</w:t>
            </w:r>
          </w:p>
        </w:tc>
      </w:tr>
      <w:tr>
        <w:tc>
          <w:tcPr>
            <w:tcW w:type="dxa" w:w="4320"/>
          </w:tcPr>
          <w:p>
            <w:r>
              <w:t>Resolution</w:t>
            </w:r>
          </w:p>
        </w:tc>
        <w:tc>
          <w:tcPr>
            <w:tcW w:type="dxa" w:w="4320"/>
          </w:tcPr>
          <w:p>
            <w:r>
              <w:t>Account Credit</w:t>
            </w:r>
          </w:p>
        </w:tc>
      </w:tr>
      <w:tr>
        <w:tc>
          <w:tcPr>
            <w:tcW w:type="dxa" w:w="4320"/>
          </w:tcPr>
          <w:p>
            <w:r>
              <w:t>Date</w:t>
            </w:r>
          </w:p>
        </w:tc>
        <w:tc>
          <w:tcPr>
            <w:tcW w:type="dxa" w:w="4320"/>
          </w:tcPr>
          <w:p>
            <w:r>
              <w:t>2023-11-25</w:t>
            </w:r>
          </w:p>
        </w:tc>
      </w:tr>
    </w:tbl>
    <w:p>
      <w:pPr>
        <w:pStyle w:val="Heading3"/>
      </w:pPr>
      <w:r>
        <w:t>Situation Description</w:t>
      </w:r>
    </w:p>
    <w:p>
      <w:r>
        <w:t>Service performance below SLA for 1 week. Customer provided detailed logs showing latency issues.</w:t>
      </w:r>
    </w:p>
    <w:p>
      <w:pPr>
        <w:pStyle w:val="Heading3"/>
      </w:pPr>
      <w:r>
        <w:t>Resolution Analysis</w:t>
      </w:r>
    </w:p>
    <w:p>
      <w:r>
        <w:t>Account credit was chosen to maintain the customer relationship while addressing the service issue. This solution provides value to the customer while encouraging continued service usage. Enterprise-level review and account manager involvement ensured appropriate handling.</w:t>
      </w:r>
    </w:p>
    <w:p>
      <w:pPr>
        <w:pStyle w:val="Heading3"/>
      </w:pPr>
      <w:r>
        <w:t>Key Learnings</w:t>
      </w:r>
    </w:p>
    <w:p>
      <w:r>
        <w:t>• Regular performance monitoring</w:t>
        <w:br/>
        <w:t>• Customer feedback integration</w:t>
        <w:br/>
        <w:t>• Proactive service improvements</w:t>
        <w:br/>
        <w:t>• Enterprise accounts need careful handling</w:t>
        <w:br/>
        <w:t>• Account manager involvement is crucial</w:t>
      </w:r>
    </w:p>
    <w:p>
      <w:r>
        <w:t>──────────────────────────────────────────────────</w:t>
      </w:r>
    </w:p>
    <w:p>
      <w:pPr>
        <w:pStyle w:val="Heading2"/>
      </w:pPr>
      <w:r>
        <w:t>3.6 Case Study: SF-2023-006</w:t>
      </w:r>
    </w:p>
    <w:tbl>
      <w:tblPr>
        <w:tblStyle w:val="TableGrid"/>
        <w:tblW w:type="auto" w:w="0"/>
        <w:tblLook w:firstColumn="1" w:firstRow="1" w:lastColumn="0" w:lastRow="0" w:noHBand="0" w:noVBand="1" w:val="04A0"/>
      </w:tblPr>
      <w:tblGrid>
        <w:gridCol w:w="4320"/>
        <w:gridCol w:w="4320"/>
      </w:tblGrid>
      <w:tr>
        <w:tc>
          <w:tcPr>
            <w:tcW w:type="dxa" w:w="4320"/>
          </w:tcPr>
          <w:p>
            <w:r>
              <w:t>Case ID</w:t>
            </w:r>
          </w:p>
        </w:tc>
        <w:tc>
          <w:tcPr>
            <w:tcW w:type="dxa" w:w="4320"/>
          </w:tcPr>
          <w:p>
            <w:r>
              <w:t>SF-2023-006</w:t>
            </w:r>
          </w:p>
        </w:tc>
      </w:tr>
      <w:tr>
        <w:tc>
          <w:tcPr>
            <w:tcW w:type="dxa" w:w="4320"/>
          </w:tcPr>
          <w:p>
            <w:r>
              <w:t>Dispute Type</w:t>
            </w:r>
          </w:p>
        </w:tc>
        <w:tc>
          <w:tcPr>
            <w:tcW w:type="dxa" w:w="4320"/>
          </w:tcPr>
          <w:p>
            <w:r>
              <w:t>Unauthorized Charge</w:t>
            </w:r>
          </w:p>
        </w:tc>
      </w:tr>
      <w:tr>
        <w:tc>
          <w:tcPr>
            <w:tcW w:type="dxa" w:w="4320"/>
          </w:tcPr>
          <w:p>
            <w:r>
              <w:t>Amount</w:t>
            </w:r>
          </w:p>
        </w:tc>
        <w:tc>
          <w:tcPr>
            <w:tcW w:type="dxa" w:w="4320"/>
          </w:tcPr>
          <w:p>
            <w:r>
              <w:t>$79.99</w:t>
            </w:r>
          </w:p>
        </w:tc>
      </w:tr>
      <w:tr>
        <w:tc>
          <w:tcPr>
            <w:tcW w:type="dxa" w:w="4320"/>
          </w:tcPr>
          <w:p>
            <w:r>
              <w:t>Customer Segment</w:t>
            </w:r>
          </w:p>
        </w:tc>
        <w:tc>
          <w:tcPr>
            <w:tcW w:type="dxa" w:w="4320"/>
          </w:tcPr>
          <w:p>
            <w:r>
              <w:t>Standard</w:t>
            </w:r>
          </w:p>
        </w:tc>
      </w:tr>
      <w:tr>
        <w:tc>
          <w:tcPr>
            <w:tcW w:type="dxa" w:w="4320"/>
          </w:tcPr>
          <w:p>
            <w:r>
              <w:t>Resolution</w:t>
            </w:r>
          </w:p>
        </w:tc>
        <w:tc>
          <w:tcPr>
            <w:tcW w:type="dxa" w:w="4320"/>
          </w:tcPr>
          <w:p>
            <w:r>
              <w:t>Deny Refund</w:t>
            </w:r>
          </w:p>
        </w:tc>
      </w:tr>
      <w:tr>
        <w:tc>
          <w:tcPr>
            <w:tcW w:type="dxa" w:w="4320"/>
          </w:tcPr>
          <w:p>
            <w:r>
              <w:t>Date</w:t>
            </w:r>
          </w:p>
        </w:tc>
        <w:tc>
          <w:tcPr>
            <w:tcW w:type="dxa" w:w="4320"/>
          </w:tcPr>
          <w:p>
            <w:r>
              <w:t>2023-11-20</w:t>
            </w:r>
          </w:p>
        </w:tc>
      </w:tr>
    </w:tbl>
    <w:p>
      <w:pPr>
        <w:pStyle w:val="Heading3"/>
      </w:pPr>
      <w:r>
        <w:t>Situation Description</w:t>
      </w:r>
    </w:p>
    <w:p>
      <w:r>
        <w:t>Charge was authorized by customer. No evidence of unauthorized access. Customer later admitted to the charge.</w:t>
      </w:r>
    </w:p>
    <w:p>
      <w:pPr>
        <w:pStyle w:val="Heading3"/>
      </w:pPr>
      <w:r>
        <w:t>Resolution Analysis</w:t>
      </w:r>
    </w:p>
    <w:p>
      <w:r>
        <w:t>After thorough investigation, the refund was denied due to insufficient evidence of service failure. Customer education and clear communication helped maintain the relationship.</w:t>
      </w:r>
    </w:p>
    <w:p>
      <w:pPr>
        <w:pStyle w:val="Heading3"/>
      </w:pPr>
      <w:r>
        <w:t>Key Learnings</w:t>
      </w:r>
    </w:p>
    <w:p>
      <w:r>
        <w:t>• Robust fraud detection systems</w:t>
        <w:br/>
        <w:t>• Clear verification procedures</w:t>
        <w:br/>
        <w:t>• Customer education on security</w:t>
      </w:r>
    </w:p>
    <w:p>
      <w:r>
        <w:t>──────────────────────────────────────────────────</w:t>
      </w:r>
    </w:p>
    <w:p>
      <w:pPr>
        <w:pStyle w:val="Heading2"/>
      </w:pPr>
      <w:r>
        <w:t>3.7 Case Study: SF-2023-007</w:t>
      </w:r>
    </w:p>
    <w:tbl>
      <w:tblPr>
        <w:tblStyle w:val="TableGrid"/>
        <w:tblW w:type="auto" w:w="0"/>
        <w:tblLook w:firstColumn="1" w:firstRow="1" w:lastColumn="0" w:lastRow="0" w:noHBand="0" w:noVBand="1" w:val="04A0"/>
      </w:tblPr>
      <w:tblGrid>
        <w:gridCol w:w="4320"/>
        <w:gridCol w:w="4320"/>
      </w:tblGrid>
      <w:tr>
        <w:tc>
          <w:tcPr>
            <w:tcW w:type="dxa" w:w="4320"/>
          </w:tcPr>
          <w:p>
            <w:r>
              <w:t>Case ID</w:t>
            </w:r>
          </w:p>
        </w:tc>
        <w:tc>
          <w:tcPr>
            <w:tcW w:type="dxa" w:w="4320"/>
          </w:tcPr>
          <w:p>
            <w:r>
              <w:t>SF-2023-007</w:t>
            </w:r>
          </w:p>
        </w:tc>
      </w:tr>
      <w:tr>
        <w:tc>
          <w:tcPr>
            <w:tcW w:type="dxa" w:w="4320"/>
          </w:tcPr>
          <w:p>
            <w:r>
              <w:t>Dispute Type</w:t>
            </w:r>
          </w:p>
        </w:tc>
        <w:tc>
          <w:tcPr>
            <w:tcW w:type="dxa" w:w="4320"/>
          </w:tcPr>
          <w:p>
            <w:r>
              <w:t>Service Outage</w:t>
            </w:r>
          </w:p>
        </w:tc>
      </w:tr>
      <w:tr>
        <w:tc>
          <w:tcPr>
            <w:tcW w:type="dxa" w:w="4320"/>
          </w:tcPr>
          <w:p>
            <w:r>
              <w:t>Amount</w:t>
            </w:r>
          </w:p>
        </w:tc>
        <w:tc>
          <w:tcPr>
            <w:tcW w:type="dxa" w:w="4320"/>
          </w:tcPr>
          <w:p>
            <w:r>
              <w:t>$39.99</w:t>
            </w:r>
          </w:p>
        </w:tc>
      </w:tr>
      <w:tr>
        <w:tc>
          <w:tcPr>
            <w:tcW w:type="dxa" w:w="4320"/>
          </w:tcPr>
          <w:p>
            <w:r>
              <w:t>Customer Segment</w:t>
            </w:r>
          </w:p>
        </w:tc>
        <w:tc>
          <w:tcPr>
            <w:tcW w:type="dxa" w:w="4320"/>
          </w:tcPr>
          <w:p>
            <w:r>
              <w:t>Premium</w:t>
            </w:r>
          </w:p>
        </w:tc>
      </w:tr>
      <w:tr>
        <w:tc>
          <w:tcPr>
            <w:tcW w:type="dxa" w:w="4320"/>
          </w:tcPr>
          <w:p>
            <w:r>
              <w:t>Resolution</w:t>
            </w:r>
          </w:p>
        </w:tc>
        <w:tc>
          <w:tcPr>
            <w:tcW w:type="dxa" w:w="4320"/>
          </w:tcPr>
          <w:p>
            <w:r>
              <w:t>Full Refund</w:t>
            </w:r>
          </w:p>
        </w:tc>
      </w:tr>
      <w:tr>
        <w:tc>
          <w:tcPr>
            <w:tcW w:type="dxa" w:w="4320"/>
          </w:tcPr>
          <w:p>
            <w:r>
              <w:t>Date</w:t>
            </w:r>
          </w:p>
        </w:tc>
        <w:tc>
          <w:tcPr>
            <w:tcW w:type="dxa" w:w="4320"/>
          </w:tcPr>
          <w:p>
            <w:r>
              <w:t>2023-11-15</w:t>
            </w:r>
          </w:p>
        </w:tc>
      </w:tr>
    </w:tbl>
    <w:p>
      <w:pPr>
        <w:pStyle w:val="Heading3"/>
      </w:pPr>
      <w:r>
        <w:t>Situation Description</w:t>
      </w:r>
    </w:p>
    <w:p>
      <w:r>
        <w:t>Service outage for 6 hours during peak business hours. Customer is on premium plan.</w:t>
      </w:r>
    </w:p>
    <w:p>
      <w:pPr>
        <w:pStyle w:val="Heading3"/>
      </w:pPr>
      <w:r>
        <w:t>Resolution Analysis</w:t>
      </w:r>
    </w:p>
    <w:p>
      <w:r>
        <w:t>This case warranted a full refund due to clear service failure and customer impact. The decision aligns with our commitment to customer satisfaction and service quality standards. As a premium customer, expedited processing and enhanced communication were provided.</w:t>
      </w:r>
    </w:p>
    <w:p>
      <w:pPr>
        <w:pStyle w:val="Heading3"/>
      </w:pPr>
      <w:r>
        <w:t>Key Learnings</w:t>
      </w:r>
    </w:p>
    <w:p>
      <w:r>
        <w:t>• Monitor service availability closely</w:t>
        <w:br/>
        <w:t>• Proactive customer communication during outages</w:t>
        <w:br/>
        <w:t>• Clear escalation procedures for extended outages</w:t>
        <w:br/>
        <w:t>• Premium customers require enhanced service levels</w:t>
        <w:br/>
        <w:t>• Quick resolution builds loyalty</w:t>
      </w:r>
    </w:p>
    <w:p>
      <w:r>
        <w:t>──────────────────────────────────────────────────</w:t>
      </w:r>
    </w:p>
    <w:p>
      <w:pPr>
        <w:pStyle w:val="Heading2"/>
      </w:pPr>
      <w:r>
        <w:t>3.8 Case Study: SF-2023-008</w:t>
      </w:r>
    </w:p>
    <w:tbl>
      <w:tblPr>
        <w:tblStyle w:val="TableGrid"/>
        <w:tblW w:type="auto" w:w="0"/>
        <w:tblLook w:firstColumn="1" w:firstRow="1" w:lastColumn="0" w:lastRow="0" w:noHBand="0" w:noVBand="1" w:val="04A0"/>
      </w:tblPr>
      <w:tblGrid>
        <w:gridCol w:w="4320"/>
        <w:gridCol w:w="4320"/>
      </w:tblGrid>
      <w:tr>
        <w:tc>
          <w:tcPr>
            <w:tcW w:type="dxa" w:w="4320"/>
          </w:tcPr>
          <w:p>
            <w:r>
              <w:t>Case ID</w:t>
            </w:r>
          </w:p>
        </w:tc>
        <w:tc>
          <w:tcPr>
            <w:tcW w:type="dxa" w:w="4320"/>
          </w:tcPr>
          <w:p>
            <w:r>
              <w:t>SF-2023-008</w:t>
            </w:r>
          </w:p>
        </w:tc>
      </w:tr>
      <w:tr>
        <w:tc>
          <w:tcPr>
            <w:tcW w:type="dxa" w:w="4320"/>
          </w:tcPr>
          <w:p>
            <w:r>
              <w:t>Dispute Type</w:t>
            </w:r>
          </w:p>
        </w:tc>
        <w:tc>
          <w:tcPr>
            <w:tcW w:type="dxa" w:w="4320"/>
          </w:tcPr>
          <w:p>
            <w:r>
              <w:t>Billing Dispute</w:t>
            </w:r>
          </w:p>
        </w:tc>
      </w:tr>
      <w:tr>
        <w:tc>
          <w:tcPr>
            <w:tcW w:type="dxa" w:w="4320"/>
          </w:tcPr>
          <w:p>
            <w:r>
              <w:t>Amount</w:t>
            </w:r>
          </w:p>
        </w:tc>
        <w:tc>
          <w:tcPr>
            <w:tcW w:type="dxa" w:w="4320"/>
          </w:tcPr>
          <w:p>
            <w:r>
              <w:t>$499.99</w:t>
            </w:r>
          </w:p>
        </w:tc>
      </w:tr>
      <w:tr>
        <w:tc>
          <w:tcPr>
            <w:tcW w:type="dxa" w:w="4320"/>
          </w:tcPr>
          <w:p>
            <w:r>
              <w:t>Customer Segment</w:t>
            </w:r>
          </w:p>
        </w:tc>
        <w:tc>
          <w:tcPr>
            <w:tcW w:type="dxa" w:w="4320"/>
          </w:tcPr>
          <w:p>
            <w:r>
              <w:t>Enterprise</w:t>
            </w:r>
          </w:p>
        </w:tc>
      </w:tr>
      <w:tr>
        <w:tc>
          <w:tcPr>
            <w:tcW w:type="dxa" w:w="4320"/>
          </w:tcPr>
          <w:p>
            <w:r>
              <w:t>Resolution</w:t>
            </w:r>
          </w:p>
        </w:tc>
        <w:tc>
          <w:tcPr>
            <w:tcW w:type="dxa" w:w="4320"/>
          </w:tcPr>
          <w:p>
            <w:r>
              <w:t>Partial Refund</w:t>
            </w:r>
          </w:p>
        </w:tc>
      </w:tr>
      <w:tr>
        <w:tc>
          <w:tcPr>
            <w:tcW w:type="dxa" w:w="4320"/>
          </w:tcPr>
          <w:p>
            <w:r>
              <w:t>Date</w:t>
            </w:r>
          </w:p>
        </w:tc>
        <w:tc>
          <w:tcPr>
            <w:tcW w:type="dxa" w:w="4320"/>
          </w:tcPr>
          <w:p>
            <w:r>
              <w:t>2023-11-10</w:t>
            </w:r>
          </w:p>
        </w:tc>
      </w:tr>
    </w:tbl>
    <w:p>
      <w:pPr>
        <w:pStyle w:val="Heading3"/>
      </w:pPr>
      <w:r>
        <w:t>Situation Description</w:t>
      </w:r>
    </w:p>
    <w:p>
      <w:r>
        <w:t>High-value dispute requiring investigation. Partial refund offered after thorough review.</w:t>
      </w:r>
    </w:p>
    <w:p>
      <w:pPr>
        <w:pStyle w:val="Heading3"/>
      </w:pPr>
      <w:r>
        <w:t>Resolution Analysis</w:t>
      </w:r>
    </w:p>
    <w:p>
      <w:r>
        <w:t>A partial refund was appropriate given the limited scope of the issue and shared circumstances. This balanced approach maintains customer goodwill while recognizing partial service delivery. Enterprise-level review and account manager involvement ensured appropriate handling. The significant amount required manager approval and additional documentation.</w:t>
      </w:r>
    </w:p>
    <w:p>
      <w:pPr>
        <w:pStyle w:val="Heading3"/>
      </w:pPr>
      <w:r>
        <w:t>Key Learnings</w:t>
      </w:r>
    </w:p>
    <w:p>
      <w:r>
        <w:t>• Regular billing system audits</w:t>
        <w:br/>
        <w:t>• Clear billing documentation for customers</w:t>
        <w:br/>
        <w:t>• Quick response to billing inquiries</w:t>
        <w:br/>
        <w:t>• Enterprise accounts need careful handling</w:t>
        <w:br/>
        <w:t>• Account manager involvement is crucial</w:t>
      </w:r>
    </w:p>
    <w:p>
      <w:r>
        <w:br w:type="page"/>
      </w:r>
    </w:p>
    <w:p>
      <w:pPr>
        <w:pStyle w:val="Heading1"/>
      </w:pPr>
      <w:r>
        <w:t>4. Best Practices and Guidelines</w:t>
      </w:r>
    </w:p>
    <w:p>
      <w:pPr>
        <w:pStyle w:val="Heading2"/>
      </w:pPr>
      <w:r>
        <w:t>4.1 Resolution Decision Framework</w:t>
      </w:r>
    </w:p>
    <w:p>
      <w:r>
        <w:t>Based on the case studies, the following framework guides resolution decisions:</w:t>
        <w:br/>
        <w:br/>
        <w:t>1. **Assess Impact**: Determine the scope and duration of the issue</w:t>
        <w:br/>
        <w:t>2. **Verify Customer Claims**: Collect evidence from system logs and records</w:t>
        <w:br/>
        <w:t>3. **Consider Customer Tier**: Apply appropriate service level commitments</w:t>
        <w:br/>
        <w:t>4. **Evaluate Business Impact**: Consider precedent and financial implications</w:t>
        <w:br/>
        <w:t>5. **Choose Resolution**: Select the most appropriate resolution type</w:t>
        <w:br/>
        <w:t>6. **Document Rationale**: Record reasoning for future reference</w:t>
      </w:r>
    </w:p>
    <w:p>
      <w:pPr>
        <w:pStyle w:val="Heading2"/>
      </w:pPr>
      <w:r>
        <w:t>4.2 Customer Segment Considerations</w:t>
      </w:r>
    </w:p>
    <w:p>
      <w:r>
        <w:t>**Premium Customers**: Receive more favorable resolution terms due to higher service commitments. Quick resolution and proactive communication are prioritized.</w:t>
        <w:br/>
        <w:br/>
        <w:t>**Enterprise Customers**: Require careful handling due to contract implications and relationship value. Custom solutions and account manager involvement are common.</w:t>
        <w:br/>
        <w:br/>
        <w:t>**Standard Customers**: Handled according to standard policies with fair and consistent treatment. Efficiency and clear communication are key.</w:t>
      </w:r>
    </w:p>
    <w:p>
      <w:pPr>
        <w:pStyle w:val="Heading2"/>
      </w:pPr>
      <w:r>
        <w:t>4.3 Common Resolution Patterns</w:t>
      </w:r>
    </w:p>
    <w:p>
      <w:r>
        <w:t>**Service Outages**: Generally result in full refunds for premium customers and partial refunds for others, depending on duration and impact.</w:t>
        <w:br/>
        <w:br/>
        <w:t>**Billing Errors**: Typically require full correction and appropriate compensation based on the error severity.</w:t>
        <w:br/>
        <w:br/>
        <w:t>**Duplicate Charges**: Almost always result in full refunds due to clear system error.</w:t>
        <w:br/>
        <w:br/>
        <w:t>**Unauthorized Charges**: Require thorough investigation and verification before resolution.</w:t>
        <w:br/>
        <w:br/>
        <w:t>**Service Quality Issues**: Often resolved with account credits or service improvements rather than refunds.</w:t>
      </w:r>
    </w:p>
    <w:p>
      <w:pPr>
        <w:pStyle w:val="Heading1"/>
      </w:pPr>
      <w:r>
        <w:t>5. Training Recommendations</w:t>
      </w:r>
    </w:p>
    <w:p>
      <w:r>
        <w:t>Customer service representatives should be trained on:</w:t>
        <w:br/>
        <w:br/>
        <w:t>• Proper evidence collection and documentation procedures</w:t>
        <w:br/>
        <w:t>• Customer tier identification and appropriate service levels</w:t>
        <w:br/>
        <w:t>• Escalation procedures for complex or high-value disputes</w:t>
        <w:br/>
        <w:t>• Communication best practices for different resolution outcomes</w:t>
        <w:br/>
        <w:t>• System tools for research and verification</w:t>
        <w:br/>
        <w:t>• Legal and compliance considerations for dispute handling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