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Premium Customer Policy</w:t>
      </w:r>
    </w:p>
    <w:p>
      <w:r>
        <w:t>Policy ID: POL-003</w:t>
      </w:r>
    </w:p>
    <w:p>
      <w:r>
        <w:t>Category: Customer Tier</w:t>
      </w:r>
    </w:p>
    <w:p>
      <w:r>
        <w:t>Document Version: 1.0</w:t>
      </w:r>
    </w:p>
    <w:p>
      <w:r>
        <w:t>Effective Date: July 11, 2025</w:t>
      </w:r>
    </w:p>
    <w:p>
      <w:r>
        <w:t>Department: Customer Success</w:t>
      </w:r>
    </w:p>
    <w:p>
      <w:r>
        <w:br w:type="page"/>
      </w:r>
    </w:p>
    <w:p>
      <w:pPr>
        <w:pStyle w:val="Heading1"/>
      </w:pPr>
      <w:r>
        <w:t>1. Policy Overview</w:t>
      </w:r>
    </w:p>
    <w:p>
      <w:r>
        <w:t>This policy defines the enhanced service levels and benefits provided to premium customers. Premium customers receive priority handling and more favorable resolution terms.</w:t>
      </w:r>
    </w:p>
    <w:p>
      <w:pPr>
        <w:pStyle w:val="Heading1"/>
      </w:pPr>
      <w:r>
        <w:t>2. Premium Customer Benefits</w:t>
      </w:r>
    </w:p>
    <w:p>
      <w:r>
        <w:t>Premium customers receive priority handling and more favorable resolution terms. Full refunds for any service issues. Dedicated support team for premium customers.</w:t>
      </w:r>
    </w:p>
    <w:p>
      <w:pPr>
        <w:pStyle w:val="Heading1"/>
      </w:pPr>
      <w:r>
        <w:t>3. Premium Customer Definition</w:t>
      </w:r>
    </w:p>
    <w:p>
      <w:r>
        <w:t>Premium customers are defined as:</w:t>
        <w:br/>
        <w:t>• Annual contract value exceeding $25,000</w:t>
        <w:br/>
        <w:t>• Multi-year contract commitments</w:t>
        <w:br/>
        <w:t>• Strategic partnership agreements</w:t>
        <w:br/>
        <w:t>• High-growth potential accounts</w:t>
        <w:br/>
        <w:t>• Long-term customer relationships (2+ years)</w:t>
      </w:r>
    </w:p>
    <w:p>
      <w:pPr>
        <w:pStyle w:val="Heading1"/>
      </w:pPr>
      <w:r>
        <w:t>4. Service Level Commitments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Service Component</w:t>
            </w:r>
          </w:p>
        </w:tc>
        <w:tc>
          <w:tcPr>
            <w:tcW w:type="dxa" w:w="2880"/>
          </w:tcPr>
          <w:p>
            <w:r>
              <w:t>Standard Customers</w:t>
            </w:r>
          </w:p>
        </w:tc>
        <w:tc>
          <w:tcPr>
            <w:tcW w:type="dxa" w:w="2880"/>
          </w:tcPr>
          <w:p>
            <w:r>
              <w:t>Premium Customers</w:t>
            </w:r>
          </w:p>
        </w:tc>
      </w:tr>
      <w:tr>
        <w:tc>
          <w:tcPr>
            <w:tcW w:type="dxa" w:w="2880"/>
          </w:tcPr>
          <w:p>
            <w:r>
              <w:t>Response Time</w:t>
            </w:r>
          </w:p>
        </w:tc>
        <w:tc>
          <w:tcPr>
            <w:tcW w:type="dxa" w:w="2880"/>
          </w:tcPr>
          <w:p>
            <w:r>
              <w:t>48 hours</w:t>
            </w:r>
          </w:p>
        </w:tc>
        <w:tc>
          <w:tcPr>
            <w:tcW w:type="dxa" w:w="2880"/>
          </w:tcPr>
          <w:p>
            <w:r>
              <w:t>4 hours</w:t>
            </w:r>
          </w:p>
        </w:tc>
      </w:tr>
      <w:tr>
        <w:tc>
          <w:tcPr>
            <w:tcW w:type="dxa" w:w="2880"/>
          </w:tcPr>
          <w:p>
            <w:r>
              <w:t>Dispute Resolution</w:t>
            </w:r>
          </w:p>
        </w:tc>
        <w:tc>
          <w:tcPr>
            <w:tcW w:type="dxa" w:w="2880"/>
          </w:tcPr>
          <w:p>
            <w:r>
              <w:t>Standard process</w:t>
            </w:r>
          </w:p>
        </w:tc>
        <w:tc>
          <w:tcPr>
            <w:tcW w:type="dxa" w:w="2880"/>
          </w:tcPr>
          <w:p>
            <w:r>
              <w:t>Priority handling</w:t>
            </w:r>
          </w:p>
        </w:tc>
      </w:tr>
      <w:tr>
        <w:tc>
          <w:tcPr>
            <w:tcW w:type="dxa" w:w="2880"/>
          </w:tcPr>
          <w:p>
            <w:r>
              <w:t>Refund Processing</w:t>
            </w:r>
          </w:p>
        </w:tc>
        <w:tc>
          <w:tcPr>
            <w:tcW w:type="dxa" w:w="2880"/>
          </w:tcPr>
          <w:p>
            <w:r>
              <w:t>5-7 business days</w:t>
            </w:r>
          </w:p>
        </w:tc>
        <w:tc>
          <w:tcPr>
            <w:tcW w:type="dxa" w:w="2880"/>
          </w:tcPr>
          <w:p>
            <w:r>
              <w:t>1-3 business days</w:t>
            </w:r>
          </w:p>
        </w:tc>
      </w:tr>
      <w:tr>
        <w:tc>
          <w:tcPr>
            <w:tcW w:type="dxa" w:w="2880"/>
          </w:tcPr>
          <w:p>
            <w:r>
              <w:t>Support Channel</w:t>
            </w:r>
          </w:p>
        </w:tc>
        <w:tc>
          <w:tcPr>
            <w:tcW w:type="dxa" w:w="2880"/>
          </w:tcPr>
          <w:p>
            <w:r>
              <w:t>Email/ticket</w:t>
            </w:r>
          </w:p>
        </w:tc>
        <w:tc>
          <w:tcPr>
            <w:tcW w:type="dxa" w:w="2880"/>
          </w:tcPr>
          <w:p>
            <w:r>
              <w:t>Dedicated phone line</w:t>
            </w:r>
          </w:p>
        </w:tc>
      </w:tr>
      <w:tr>
        <w:tc>
          <w:tcPr>
            <w:tcW w:type="dxa" w:w="2880"/>
          </w:tcPr>
          <w:p>
            <w:r>
              <w:t>Account Management</w:t>
            </w:r>
          </w:p>
        </w:tc>
        <w:tc>
          <w:tcPr>
            <w:tcW w:type="dxa" w:w="2880"/>
          </w:tcPr>
          <w:p>
            <w:r>
              <w:t>Self-service</w:t>
            </w:r>
          </w:p>
        </w:tc>
        <w:tc>
          <w:tcPr>
            <w:tcW w:type="dxa" w:w="2880"/>
          </w:tcPr>
          <w:p>
            <w:r>
              <w:t>Dedicated account manager</w:t>
            </w:r>
          </w:p>
        </w:tc>
      </w:tr>
    </w:tbl>
    <w:p>
      <w:pPr>
        <w:pStyle w:val="Heading1"/>
      </w:pPr>
      <w:r>
        <w:t>5. Escalation Path</w:t>
      </w:r>
    </w:p>
    <w:p>
      <w:r>
        <w:t>Premium customer issues are escalated directly to senior management for disputes exceeding $500. All premium customer concerns receive executive review and personalized resolution approaches.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