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Service Outage Response and Compensation Policy</w:t>
      </w:r>
    </w:p>
    <w:p>
      <w:r>
        <w:t>Document Version: 1.5</w:t>
      </w:r>
    </w:p>
    <w:p>
      <w:r>
        <w:t>Effective Date: January 1, 2024</w:t>
      </w:r>
    </w:p>
    <w:p>
      <w:r>
        <w:t>Department: Operations &amp; Customer Success</w:t>
      </w:r>
    </w:p>
    <w:p>
      <w:r>
        <w:br w:type="page"/>
      </w:r>
    </w:p>
    <w:p>
      <w:pPr>
        <w:pStyle w:val="Heading1"/>
      </w:pPr>
      <w:r>
        <w:t>1. Policy Overview</w:t>
      </w:r>
    </w:p>
    <w:p>
      <w:r>
        <w:t>This policy defines our commitment to service reliability and establishes clear compensation guidelines for service outages that impact our customers.</w:t>
      </w:r>
    </w:p>
    <w:p>
      <w:pPr>
        <w:pStyle w:val="Heading1"/>
      </w:pPr>
      <w:r>
        <w:t>2. Service Level Definitions</w:t>
      </w:r>
    </w:p>
    <w:p>
      <w:r>
        <w:t>Service outages are classified as:</w:t>
        <w:br/>
        <w:t>• Complete Service Outage: 100% service unavailability</w:t>
        <w:br/>
        <w:t>• Partial Service Outage: Degraded performance affecting &gt;50% of features</w:t>
        <w:br/>
        <w:t>• Minor Service Degradation: Performance issues affecting &lt;50% of features</w:t>
      </w:r>
    </w:p>
    <w:p>
      <w:pPr>
        <w:pStyle w:val="Heading1"/>
      </w:pPr>
      <w:r>
        <w:t>3. Compensation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Outage Duration</w:t>
            </w:r>
          </w:p>
        </w:tc>
        <w:tc>
          <w:tcPr>
            <w:tcW w:type="dxa" w:w="2160"/>
          </w:tcPr>
          <w:p>
            <w:r>
              <w:t>Standard Customers</w:t>
            </w:r>
          </w:p>
        </w:tc>
        <w:tc>
          <w:tcPr>
            <w:tcW w:type="dxa" w:w="2160"/>
          </w:tcPr>
          <w:p>
            <w:r>
              <w:t>Premium Customers</w:t>
            </w:r>
          </w:p>
        </w:tc>
        <w:tc>
          <w:tcPr>
            <w:tcW w:type="dxa" w:w="2160"/>
          </w:tcPr>
          <w:p>
            <w:r>
              <w:t>Enterprise Customers</w:t>
            </w:r>
          </w:p>
        </w:tc>
      </w:tr>
      <w:tr>
        <w:tc>
          <w:tcPr>
            <w:tcW w:type="dxa" w:w="2160"/>
          </w:tcPr>
          <w:p>
            <w:r>
              <w:t>0-2 hours</w:t>
            </w:r>
          </w:p>
        </w:tc>
        <w:tc>
          <w:tcPr>
            <w:tcW w:type="dxa" w:w="2160"/>
          </w:tcPr>
          <w:p>
            <w:r>
              <w:t>No compensation</w:t>
            </w:r>
          </w:p>
        </w:tc>
        <w:tc>
          <w:tcPr>
            <w:tcW w:type="dxa" w:w="2160"/>
          </w:tcPr>
          <w:p>
            <w:r>
              <w:t>Service credit</w:t>
            </w:r>
          </w:p>
        </w:tc>
        <w:tc>
          <w:tcPr>
            <w:tcW w:type="dxa" w:w="2160"/>
          </w:tcPr>
          <w:p>
            <w:r>
              <w:t>Service credit</w:t>
            </w:r>
          </w:p>
        </w:tc>
      </w:tr>
      <w:tr>
        <w:tc>
          <w:tcPr>
            <w:tcW w:type="dxa" w:w="2160"/>
          </w:tcPr>
          <w:p>
            <w:r>
              <w:t>2-6 hours</w:t>
            </w:r>
          </w:p>
        </w:tc>
        <w:tc>
          <w:tcPr>
            <w:tcW w:type="dxa" w:w="2160"/>
          </w:tcPr>
          <w:p>
            <w:r>
              <w:t>Service credit</w:t>
            </w:r>
          </w:p>
        </w:tc>
        <w:tc>
          <w:tcPr>
            <w:tcW w:type="dxa" w:w="2160"/>
          </w:tcPr>
          <w:p>
            <w:r>
              <w:t>Partial refund</w:t>
            </w:r>
          </w:p>
        </w:tc>
        <w:tc>
          <w:tcPr>
            <w:tcW w:type="dxa" w:w="2160"/>
          </w:tcPr>
          <w:p>
            <w:r>
              <w:t>Partial refund</w:t>
            </w:r>
          </w:p>
        </w:tc>
      </w:tr>
      <w:tr>
        <w:tc>
          <w:tcPr>
            <w:tcW w:type="dxa" w:w="2160"/>
          </w:tcPr>
          <w:p>
            <w:r>
              <w:t>6-12 hours</w:t>
            </w:r>
          </w:p>
        </w:tc>
        <w:tc>
          <w:tcPr>
            <w:tcW w:type="dxa" w:w="2160"/>
          </w:tcPr>
          <w:p>
            <w:r>
              <w:t>Partial refund</w:t>
            </w:r>
          </w:p>
        </w:tc>
        <w:tc>
          <w:tcPr>
            <w:tcW w:type="dxa" w:w="2160"/>
          </w:tcPr>
          <w:p>
            <w:r>
              <w:t>Full refund</w:t>
            </w:r>
          </w:p>
        </w:tc>
        <w:tc>
          <w:tcPr>
            <w:tcW w:type="dxa" w:w="2160"/>
          </w:tcPr>
          <w:p>
            <w:r>
              <w:t>Full refund + credit</w:t>
            </w:r>
          </w:p>
        </w:tc>
      </w:tr>
      <w:tr>
        <w:tc>
          <w:tcPr>
            <w:tcW w:type="dxa" w:w="2160"/>
          </w:tcPr>
          <w:p>
            <w:r>
              <w:t>12-24 hours</w:t>
            </w:r>
          </w:p>
        </w:tc>
        <w:tc>
          <w:tcPr>
            <w:tcW w:type="dxa" w:w="2160"/>
          </w:tcPr>
          <w:p>
            <w:r>
              <w:t>Full refund</w:t>
            </w:r>
          </w:p>
        </w:tc>
        <w:tc>
          <w:tcPr>
            <w:tcW w:type="dxa" w:w="2160"/>
          </w:tcPr>
          <w:p>
            <w:r>
              <w:t>Full refund + credit</w:t>
            </w:r>
          </w:p>
        </w:tc>
        <w:tc>
          <w:tcPr>
            <w:tcW w:type="dxa" w:w="2160"/>
          </w:tcPr>
          <w:p>
            <w:r>
              <w:t>Full refund + bonus</w:t>
            </w:r>
          </w:p>
        </w:tc>
      </w:tr>
      <w:tr>
        <w:tc>
          <w:tcPr>
            <w:tcW w:type="dxa" w:w="2160"/>
          </w:tcPr>
          <w:p>
            <w:r>
              <w:t>24+ hours</w:t>
            </w:r>
          </w:p>
        </w:tc>
        <w:tc>
          <w:tcPr>
            <w:tcW w:type="dxa" w:w="2160"/>
          </w:tcPr>
          <w:p>
            <w:r>
              <w:t>Full refund + credit</w:t>
            </w:r>
          </w:p>
        </w:tc>
        <w:tc>
          <w:tcPr>
            <w:tcW w:type="dxa" w:w="2160"/>
          </w:tcPr>
          <w:p>
            <w:r>
              <w:t>Full refund + bonus</w:t>
            </w:r>
          </w:p>
        </w:tc>
        <w:tc>
          <w:tcPr>
            <w:tcW w:type="dxa" w:w="2160"/>
          </w:tcPr>
          <w:p>
            <w:r>
              <w:t>Custom compensation</w:t>
            </w:r>
          </w:p>
        </w:tc>
      </w:tr>
    </w:tbl>
    <w:p>
      <w:pPr>
        <w:pStyle w:val="Heading1"/>
      </w:pPr>
      <w:r>
        <w:t>4. Implementation Guidelines</w:t>
      </w:r>
    </w:p>
    <w:p>
      <w:r>
        <w:t>Compensation is automatically triggered for outages exceeding defined thresholds. Manual review is required for:</w:t>
        <w:br/>
        <w:t>• Outages during peak business hours</w:t>
        <w:br/>
        <w:t>• Outages affecting mission-critical features</w:t>
        <w:br/>
        <w:t>• Repeated outages within 30-day period</w:t>
        <w:br/>
        <w:t>• Customer-specific impact assessments</w:t>
      </w:r>
    </w:p>
    <w:p>
      <w:pPr>
        <w:pStyle w:val="Heading1"/>
      </w:pPr>
      <w:r>
        <w:t>5. Communication Requirements</w:t>
      </w:r>
    </w:p>
    <w:p>
      <w:r>
        <w:t>During outages, customers must be notified:</w:t>
        <w:br/>
        <w:t>• Within 15 minutes of detection</w:t>
        <w:br/>
        <w:t>• Hourly updates during resolution</w:t>
        <w:br/>
        <w:t>• Immediate notification when resolved</w:t>
        <w:br/>
        <w:t>• Post-incident report within 24 hours</w:t>
        <w:br/>
        <w:t>• Compensation details within 48 hours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