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F198" w14:textId="3BF308F4" w:rsidR="00D55D1B" w:rsidRPr="00E71F0C" w:rsidRDefault="00000000" w:rsidP="00E71F0C">
      <w:pPr>
        <w:pStyle w:val="Heading1"/>
        <w:jc w:val="center"/>
        <w:rPr>
          <w:rFonts w:ascii="Aptos" w:hAnsi="Aptos"/>
          <w:color w:val="000000" w:themeColor="text1"/>
          <w:sz w:val="40"/>
          <w:szCs w:val="40"/>
        </w:rPr>
      </w:pPr>
      <w:r w:rsidRPr="00E71F0C">
        <w:rPr>
          <w:rFonts w:ascii="Aptos" w:hAnsi="Aptos"/>
          <w:color w:val="000000" w:themeColor="text1"/>
          <w:sz w:val="40"/>
          <w:szCs w:val="40"/>
        </w:rPr>
        <w:t>Visualization and Insights Report</w:t>
      </w:r>
    </w:p>
    <w:p w14:paraId="638FFE98" w14:textId="77777777" w:rsidR="00E71F0C" w:rsidRPr="00E71F0C" w:rsidRDefault="00E71F0C" w:rsidP="00E71F0C">
      <w:pPr>
        <w:rPr>
          <w:sz w:val="24"/>
          <w:szCs w:val="24"/>
        </w:rPr>
      </w:pPr>
    </w:p>
    <w:p w14:paraId="38793241" w14:textId="77777777" w:rsidR="00D55D1B" w:rsidRPr="00E71F0C" w:rsidRDefault="00000000" w:rsidP="00E71F0C">
      <w:pPr>
        <w:jc w:val="both"/>
        <w:rPr>
          <w:rFonts w:ascii="Aptos" w:hAnsi="Aptos"/>
          <w:sz w:val="24"/>
          <w:szCs w:val="24"/>
        </w:rPr>
      </w:pPr>
      <w:r w:rsidRPr="00E71F0C">
        <w:rPr>
          <w:rFonts w:ascii="Aptos" w:hAnsi="Aptos"/>
          <w:sz w:val="24"/>
          <w:szCs w:val="24"/>
        </w:rPr>
        <w:t>This report presents the visual outputs generated from the Gold Layer dataset. Using Azure Databricks and dashboarding tools, we built interactive and informative charts to support risk analysis and behavioral profiling. Two dashboards were designed to capture different perspectives of diabetes risk and health indicators.</w:t>
      </w:r>
    </w:p>
    <w:p w14:paraId="24152D58" w14:textId="77777777" w:rsidR="00E71F0C" w:rsidRDefault="00E71F0C" w:rsidP="00E71F0C">
      <w:pPr>
        <w:pStyle w:val="Heading2"/>
        <w:rPr>
          <w:rFonts w:ascii="Aptos" w:hAnsi="Aptos"/>
          <w:color w:val="000000" w:themeColor="text1"/>
          <w:sz w:val="28"/>
          <w:szCs w:val="28"/>
        </w:rPr>
      </w:pPr>
    </w:p>
    <w:p w14:paraId="1ADE932A" w14:textId="6677FC41" w:rsidR="00E71F0C" w:rsidRPr="00E71F0C" w:rsidRDefault="00000000" w:rsidP="00E71F0C">
      <w:pPr>
        <w:pStyle w:val="Heading2"/>
        <w:rPr>
          <w:rFonts w:ascii="Aptos" w:hAnsi="Aptos"/>
          <w:color w:val="000000" w:themeColor="text1"/>
          <w:sz w:val="28"/>
          <w:szCs w:val="28"/>
        </w:rPr>
      </w:pPr>
      <w:r w:rsidRPr="00E71F0C">
        <w:rPr>
          <w:rFonts w:ascii="Aptos" w:hAnsi="Aptos"/>
          <w:color w:val="000000" w:themeColor="text1"/>
          <w:sz w:val="28"/>
          <w:szCs w:val="28"/>
        </w:rPr>
        <w:t>Dashboard 1: Diabetes Risk Profile Explorer</w:t>
      </w:r>
      <w:r w:rsidR="00E71F0C">
        <w:rPr>
          <w:rFonts w:ascii="Aptos" w:hAnsi="Aptos"/>
          <w:color w:val="000000" w:themeColor="text1"/>
          <w:sz w:val="28"/>
          <w:szCs w:val="28"/>
        </w:rPr>
        <w:br/>
      </w:r>
    </w:p>
    <w:p w14:paraId="7E97C15C" w14:textId="25A80715" w:rsidR="00E71F0C" w:rsidRPr="00E71F0C" w:rsidRDefault="00000000" w:rsidP="00E71F0C">
      <w:pPr>
        <w:rPr>
          <w:rFonts w:ascii="Aptos" w:hAnsi="Aptos"/>
          <w:sz w:val="24"/>
          <w:szCs w:val="24"/>
          <w:lang w:val="en-IN"/>
        </w:rPr>
      </w:pPr>
      <w:r w:rsidRPr="00E71F0C">
        <w:rPr>
          <w:rFonts w:ascii="Aptos" w:hAnsi="Aptos"/>
          <w:sz w:val="24"/>
          <w:szCs w:val="24"/>
        </w:rPr>
        <w:t>This dashboard highlights how diabetes prevalence and high-risk profiles vary across demographic segments. Key elements include:</w:t>
      </w:r>
      <w:r w:rsidR="00E71F0C">
        <w:rPr>
          <w:rFonts w:ascii="Aptos" w:hAnsi="Aptos"/>
          <w:sz w:val="24"/>
          <w:szCs w:val="24"/>
        </w:rPr>
        <w:br/>
      </w:r>
      <w:r w:rsidR="00E71F0C" w:rsidRPr="00E71F0C">
        <w:rPr>
          <w:rFonts w:ascii="Aptos" w:hAnsi="Aptos"/>
          <w:b/>
          <w:bCs/>
          <w:sz w:val="24"/>
          <w:szCs w:val="24"/>
          <w:lang w:val="en-IN"/>
        </w:rPr>
        <w:t>1.</w:t>
      </w:r>
      <w:r w:rsidR="00E71F0C">
        <w:rPr>
          <w:rFonts w:ascii="Aptos" w:hAnsi="Aptos"/>
          <w:sz w:val="24"/>
          <w:szCs w:val="24"/>
          <w:lang w:val="en-IN"/>
        </w:rPr>
        <w:t xml:space="preserve"> </w:t>
      </w:r>
      <w:r w:rsidR="00E71F0C" w:rsidRPr="00E71F0C">
        <w:rPr>
          <w:rFonts w:ascii="Aptos" w:hAnsi="Aptos"/>
          <w:b/>
          <w:bCs/>
          <w:sz w:val="24"/>
          <w:szCs w:val="24"/>
          <w:lang w:val="en-IN"/>
        </w:rPr>
        <w:t>Total patient distribution by AgeGroup (Pie Chart)</w:t>
      </w:r>
      <w:r w:rsidR="00E71F0C" w:rsidRPr="00E71F0C">
        <w:rPr>
          <w:rFonts w:ascii="Aptos" w:hAnsi="Aptos"/>
          <w:sz w:val="24"/>
          <w:szCs w:val="24"/>
          <w:lang w:val="en-IN"/>
        </w:rPr>
        <w:br/>
        <w:t>Shows how patients are spread across different age groups (18–34, 35–49, 50–64, 65+). Helps understand which segment dominates the dataset and provides context for analyzing risk.</w:t>
      </w:r>
    </w:p>
    <w:p w14:paraId="1EE1D698" w14:textId="46834C93" w:rsidR="00E71F0C" w:rsidRPr="00E71F0C" w:rsidRDefault="00E71F0C" w:rsidP="00E71F0C">
      <w:pPr>
        <w:rPr>
          <w:rFonts w:ascii="Aptos" w:hAnsi="Aptos"/>
          <w:sz w:val="24"/>
          <w:szCs w:val="24"/>
          <w:lang w:val="en-IN"/>
        </w:rPr>
      </w:pPr>
      <w:r w:rsidRPr="00E71F0C">
        <w:rPr>
          <w:rFonts w:ascii="Aptos" w:hAnsi="Aptos"/>
          <w:b/>
          <w:bCs/>
          <w:sz w:val="24"/>
          <w:szCs w:val="24"/>
          <w:lang w:val="en-IN"/>
        </w:rPr>
        <w:t>2.</w:t>
      </w:r>
      <w:r w:rsidRPr="00E71F0C">
        <w:rPr>
          <w:rFonts w:ascii="Aptos" w:hAnsi="Aptos"/>
          <w:sz w:val="24"/>
          <w:szCs w:val="24"/>
          <w:lang w:val="en-IN"/>
        </w:rPr>
        <w:t xml:space="preserve">  </w:t>
      </w:r>
      <w:r w:rsidRPr="00E71F0C">
        <w:rPr>
          <w:rFonts w:ascii="Aptos" w:hAnsi="Aptos"/>
          <w:b/>
          <w:bCs/>
          <w:sz w:val="24"/>
          <w:szCs w:val="24"/>
          <w:lang w:val="en-IN"/>
        </w:rPr>
        <w:t>Total count of patients by Sex (KPI Box)</w:t>
      </w:r>
      <w:r w:rsidRPr="00E71F0C">
        <w:rPr>
          <w:rFonts w:ascii="Aptos" w:hAnsi="Aptos"/>
          <w:sz w:val="24"/>
          <w:szCs w:val="24"/>
          <w:lang w:val="en-IN"/>
        </w:rPr>
        <w:br/>
        <w:t>Displays the overall number of male and female patients. Useful for quick gender-based comparison and understanding population balance.</w:t>
      </w:r>
    </w:p>
    <w:p w14:paraId="58F2358C" w14:textId="0E43FFBC" w:rsidR="00E71F0C" w:rsidRPr="00E71F0C" w:rsidRDefault="00E71F0C" w:rsidP="00E71F0C">
      <w:pPr>
        <w:rPr>
          <w:rFonts w:ascii="Aptos" w:hAnsi="Aptos"/>
          <w:sz w:val="24"/>
          <w:szCs w:val="24"/>
          <w:lang w:val="en-IN"/>
        </w:rPr>
      </w:pPr>
      <w:r w:rsidRPr="00E71F0C">
        <w:rPr>
          <w:rFonts w:ascii="Aptos" w:hAnsi="Aptos"/>
          <w:b/>
          <w:bCs/>
          <w:sz w:val="24"/>
          <w:szCs w:val="24"/>
          <w:lang w:val="en-IN"/>
        </w:rPr>
        <w:t>3.</w:t>
      </w:r>
      <w:r w:rsidRPr="00E71F0C">
        <w:rPr>
          <w:rFonts w:ascii="Aptos" w:hAnsi="Aptos"/>
          <w:sz w:val="24"/>
          <w:szCs w:val="24"/>
          <w:lang w:val="en-IN"/>
        </w:rPr>
        <w:t xml:space="preserve"> </w:t>
      </w:r>
      <w:r w:rsidRPr="00E71F0C">
        <w:rPr>
          <w:rFonts w:ascii="Aptos" w:hAnsi="Aptos"/>
          <w:b/>
          <w:bCs/>
          <w:sz w:val="24"/>
          <w:szCs w:val="24"/>
          <w:lang w:val="en-IN"/>
        </w:rPr>
        <w:t>DiabetesRate vs HighRiskRate scatter plot (by gender)</w:t>
      </w:r>
      <w:r w:rsidRPr="00E71F0C">
        <w:rPr>
          <w:rFonts w:ascii="Aptos" w:hAnsi="Aptos"/>
          <w:sz w:val="24"/>
          <w:szCs w:val="24"/>
          <w:lang w:val="en-IN"/>
        </w:rPr>
        <w:br/>
        <w:t>Each point represents a group’s diabetes prevalence and overall health risk. Color-coded by gender to reveal patterns and compare how risk escalates across sexes.</w:t>
      </w:r>
    </w:p>
    <w:p w14:paraId="5EFD1BC4" w14:textId="1F6C3CBC" w:rsidR="00E71F0C" w:rsidRPr="00E71F0C" w:rsidRDefault="00E71F0C" w:rsidP="00E71F0C">
      <w:pPr>
        <w:rPr>
          <w:rFonts w:ascii="Aptos" w:hAnsi="Aptos"/>
          <w:sz w:val="24"/>
          <w:szCs w:val="24"/>
          <w:lang w:val="en-IN"/>
        </w:rPr>
      </w:pPr>
      <w:r w:rsidRPr="00E71F0C">
        <w:rPr>
          <w:rFonts w:ascii="Aptos" w:hAnsi="Aptos"/>
          <w:b/>
          <w:bCs/>
          <w:sz w:val="24"/>
          <w:szCs w:val="24"/>
          <w:lang w:val="en-IN"/>
        </w:rPr>
        <w:t>4.</w:t>
      </w:r>
      <w:r w:rsidRPr="00E71F0C">
        <w:rPr>
          <w:rFonts w:ascii="Aptos" w:hAnsi="Aptos"/>
          <w:sz w:val="24"/>
          <w:szCs w:val="24"/>
          <w:lang w:val="en-IN"/>
        </w:rPr>
        <w:t xml:space="preserve"> </w:t>
      </w:r>
      <w:r w:rsidRPr="00E71F0C">
        <w:rPr>
          <w:rFonts w:ascii="Aptos" w:hAnsi="Aptos"/>
          <w:b/>
          <w:bCs/>
          <w:sz w:val="24"/>
          <w:szCs w:val="24"/>
          <w:lang w:val="en-IN"/>
        </w:rPr>
        <w:t>DiabetesRate bar chart segmented by AgeGroup and Sex</w:t>
      </w:r>
      <w:r w:rsidRPr="00E71F0C">
        <w:rPr>
          <w:rFonts w:ascii="Aptos" w:hAnsi="Aptos"/>
          <w:sz w:val="24"/>
          <w:szCs w:val="24"/>
          <w:lang w:val="en-IN"/>
        </w:rPr>
        <w:br/>
        <w:t>Highlights how diabetes prevalence varies with age and between males and females. Clearly shows trends like risk increasing with age and gender disparities within each group.</w:t>
      </w:r>
    </w:p>
    <w:p w14:paraId="6B92F387" w14:textId="2F1F1B3A" w:rsidR="00D55D1B" w:rsidRDefault="00E71F0C" w:rsidP="00E71F0C">
      <w:pPr>
        <w:rPr>
          <w:rFonts w:ascii="Aptos" w:hAnsi="Aptos"/>
          <w:sz w:val="24"/>
          <w:szCs w:val="24"/>
        </w:rPr>
      </w:pPr>
      <w:r>
        <w:rPr>
          <w:rFonts w:ascii="Aptos" w:hAnsi="Aptos"/>
          <w:sz w:val="24"/>
          <w:szCs w:val="24"/>
        </w:rPr>
        <w:lastRenderedPageBreak/>
        <w:br/>
      </w:r>
      <w:r>
        <w:rPr>
          <w:b/>
          <w:bCs/>
          <w:noProof/>
        </w:rPr>
        <w:drawing>
          <wp:inline distT="0" distB="0" distL="0" distR="0" wp14:anchorId="0B094186" wp14:editId="2D2EE00E">
            <wp:extent cx="5486400" cy="3664084"/>
            <wp:effectExtent l="0" t="0" r="0" b="6350"/>
            <wp:docPr id="1316987256" name="Picture 10" descr="A screenshot of a medic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87256" name="Picture 10" descr="A screenshot of a medical repor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664084"/>
                    </a:xfrm>
                    <a:prstGeom prst="rect">
                      <a:avLst/>
                    </a:prstGeom>
                  </pic:spPr>
                </pic:pic>
              </a:graphicData>
            </a:graphic>
          </wp:inline>
        </w:drawing>
      </w:r>
      <w:r>
        <w:rPr>
          <w:rFonts w:ascii="Aptos" w:hAnsi="Aptos"/>
          <w:sz w:val="24"/>
          <w:szCs w:val="24"/>
        </w:rPr>
        <w:br/>
      </w:r>
    </w:p>
    <w:p w14:paraId="5974A085" w14:textId="77777777" w:rsidR="00E71F0C" w:rsidRDefault="00E71F0C" w:rsidP="00E71F0C">
      <w:pPr>
        <w:rPr>
          <w:rFonts w:ascii="Aptos" w:hAnsi="Aptos"/>
          <w:sz w:val="24"/>
          <w:szCs w:val="24"/>
        </w:rPr>
      </w:pPr>
    </w:p>
    <w:p w14:paraId="0A48F91D" w14:textId="77777777" w:rsidR="00E71F0C" w:rsidRPr="00E71F0C" w:rsidRDefault="00E71F0C" w:rsidP="00E71F0C">
      <w:pPr>
        <w:rPr>
          <w:rFonts w:ascii="Aptos" w:hAnsi="Aptos"/>
          <w:sz w:val="24"/>
          <w:szCs w:val="24"/>
        </w:rPr>
      </w:pPr>
    </w:p>
    <w:p w14:paraId="7F95653F" w14:textId="77777777" w:rsidR="00D55D1B" w:rsidRDefault="00000000">
      <w:pPr>
        <w:pStyle w:val="Heading2"/>
        <w:rPr>
          <w:rFonts w:ascii="Aptos" w:hAnsi="Aptos"/>
          <w:color w:val="000000" w:themeColor="text1"/>
          <w:sz w:val="28"/>
          <w:szCs w:val="28"/>
        </w:rPr>
      </w:pPr>
      <w:r w:rsidRPr="00E71F0C">
        <w:rPr>
          <w:rFonts w:ascii="Aptos" w:hAnsi="Aptos"/>
          <w:color w:val="000000" w:themeColor="text1"/>
          <w:sz w:val="28"/>
          <w:szCs w:val="28"/>
        </w:rPr>
        <w:t>Dashboard 2: Lifestyle Impact by Demographics</w:t>
      </w:r>
    </w:p>
    <w:p w14:paraId="41DAD069" w14:textId="77777777" w:rsidR="00E71F0C" w:rsidRPr="00E71F0C" w:rsidRDefault="00E71F0C" w:rsidP="00E71F0C"/>
    <w:p w14:paraId="215A0E9C" w14:textId="25A65EEA" w:rsidR="00D55D1B" w:rsidRDefault="00000000">
      <w:pPr>
        <w:rPr>
          <w:rFonts w:ascii="Aptos" w:hAnsi="Aptos"/>
          <w:sz w:val="24"/>
          <w:szCs w:val="24"/>
        </w:rPr>
      </w:pPr>
      <w:r w:rsidRPr="00E71F0C">
        <w:rPr>
          <w:rFonts w:ascii="Aptos" w:hAnsi="Aptos"/>
          <w:sz w:val="24"/>
          <w:szCs w:val="24"/>
        </w:rPr>
        <w:t>This dashboard visualizes the role of modifiable lifestyle behaviors in health risk levels. Key metrics include:</w:t>
      </w:r>
      <w:r w:rsidRPr="00E71F0C">
        <w:rPr>
          <w:rFonts w:ascii="Aptos" w:hAnsi="Aptos"/>
          <w:sz w:val="24"/>
          <w:szCs w:val="24"/>
        </w:rPr>
        <w:br/>
      </w:r>
    </w:p>
    <w:p w14:paraId="04AFD539" w14:textId="68C04E02" w:rsidR="00827241" w:rsidRPr="00827241" w:rsidRDefault="00827241" w:rsidP="00827241">
      <w:pPr>
        <w:rPr>
          <w:rFonts w:ascii="Aptos" w:hAnsi="Aptos"/>
          <w:sz w:val="24"/>
          <w:szCs w:val="24"/>
          <w:lang w:val="en-IN"/>
        </w:rPr>
      </w:pPr>
      <w:r w:rsidRPr="00827241">
        <w:rPr>
          <w:rFonts w:ascii="Aptos" w:hAnsi="Aptos"/>
          <w:b/>
          <w:bCs/>
          <w:sz w:val="24"/>
          <w:szCs w:val="24"/>
          <w:lang w:val="en-IN"/>
        </w:rPr>
        <w:t>1.</w:t>
      </w:r>
      <w:r w:rsidRPr="00827241">
        <w:rPr>
          <w:rFonts w:ascii="Aptos" w:hAnsi="Aptos"/>
          <w:sz w:val="24"/>
          <w:szCs w:val="24"/>
          <w:lang w:val="en-IN"/>
        </w:rPr>
        <w:t xml:space="preserve">  </w:t>
      </w:r>
      <w:r w:rsidRPr="00827241">
        <w:rPr>
          <w:rFonts w:ascii="Aptos" w:hAnsi="Aptos"/>
          <w:b/>
          <w:bCs/>
          <w:sz w:val="24"/>
          <w:szCs w:val="24"/>
          <w:lang w:val="en-IN"/>
        </w:rPr>
        <w:t>AlcoholRiskRate by AgeGroup and RiskLevel</w:t>
      </w:r>
      <w:r w:rsidRPr="00827241">
        <w:rPr>
          <w:rFonts w:ascii="Aptos" w:hAnsi="Aptos"/>
          <w:sz w:val="24"/>
          <w:szCs w:val="24"/>
          <w:lang w:val="en-IN"/>
        </w:rPr>
        <w:br/>
        <w:t>Displays how the likelihood of risky alcohol consumption varies across age groups and risk categories (Low, Moderate, High). Helps identify segments where alcohol habits may contribute to overall health risk.</w:t>
      </w:r>
    </w:p>
    <w:p w14:paraId="6893A03B" w14:textId="3EB312B0" w:rsidR="00827241" w:rsidRPr="00827241" w:rsidRDefault="00827241" w:rsidP="00827241">
      <w:pPr>
        <w:rPr>
          <w:rFonts w:ascii="Aptos" w:hAnsi="Aptos"/>
          <w:sz w:val="24"/>
          <w:szCs w:val="24"/>
          <w:lang w:val="en-IN"/>
        </w:rPr>
      </w:pPr>
      <w:r w:rsidRPr="00827241">
        <w:rPr>
          <w:rFonts w:ascii="Aptos" w:hAnsi="Aptos"/>
          <w:b/>
          <w:bCs/>
          <w:sz w:val="24"/>
          <w:szCs w:val="24"/>
          <w:lang w:val="en-IN"/>
        </w:rPr>
        <w:t>2.</w:t>
      </w:r>
      <w:r w:rsidRPr="00827241">
        <w:rPr>
          <w:rFonts w:ascii="Aptos" w:hAnsi="Aptos"/>
          <w:sz w:val="24"/>
          <w:szCs w:val="24"/>
          <w:lang w:val="en-IN"/>
        </w:rPr>
        <w:t xml:space="preserve">  </w:t>
      </w:r>
      <w:r w:rsidRPr="00827241">
        <w:rPr>
          <w:rFonts w:ascii="Aptos" w:hAnsi="Aptos"/>
          <w:b/>
          <w:bCs/>
          <w:sz w:val="24"/>
          <w:szCs w:val="24"/>
          <w:lang w:val="en-IN"/>
        </w:rPr>
        <w:t>LowActivityRate by AgeGroup and RiskLevel</w:t>
      </w:r>
      <w:r w:rsidRPr="00827241">
        <w:rPr>
          <w:rFonts w:ascii="Aptos" w:hAnsi="Aptos"/>
          <w:sz w:val="24"/>
          <w:szCs w:val="24"/>
          <w:lang w:val="en-IN"/>
        </w:rPr>
        <w:br/>
        <w:t>Shows the proportion of individuals reporting low physical activity levels, segmented by age and risk level. Useful for spotting trends where inactivity might be driving higher health risks.</w:t>
      </w:r>
    </w:p>
    <w:p w14:paraId="1AFB81AA" w14:textId="06A52E40" w:rsidR="00827241" w:rsidRPr="00827241" w:rsidRDefault="00827241">
      <w:pPr>
        <w:rPr>
          <w:rFonts w:ascii="Aptos" w:hAnsi="Aptos"/>
          <w:sz w:val="24"/>
          <w:szCs w:val="24"/>
          <w:lang w:val="en-IN"/>
        </w:rPr>
      </w:pPr>
      <w:r w:rsidRPr="00827241">
        <w:rPr>
          <w:rFonts w:ascii="Aptos" w:hAnsi="Aptos"/>
          <w:b/>
          <w:bCs/>
          <w:sz w:val="24"/>
          <w:szCs w:val="24"/>
          <w:lang w:val="en-IN"/>
        </w:rPr>
        <w:lastRenderedPageBreak/>
        <w:t>3.</w:t>
      </w:r>
      <w:r w:rsidRPr="00827241">
        <w:rPr>
          <w:rFonts w:ascii="Aptos" w:hAnsi="Aptos"/>
          <w:sz w:val="24"/>
          <w:szCs w:val="24"/>
          <w:lang w:val="en-IN"/>
        </w:rPr>
        <w:t xml:space="preserve">  </w:t>
      </w:r>
      <w:r w:rsidRPr="00827241">
        <w:rPr>
          <w:rFonts w:ascii="Aptos" w:hAnsi="Aptos"/>
          <w:b/>
          <w:bCs/>
          <w:sz w:val="24"/>
          <w:szCs w:val="24"/>
          <w:lang w:val="en-IN"/>
        </w:rPr>
        <w:t>ObesityRate by AgeGroup and RiskLevel</w:t>
      </w:r>
      <w:r w:rsidRPr="00827241">
        <w:rPr>
          <w:rFonts w:ascii="Aptos" w:hAnsi="Aptos"/>
          <w:sz w:val="24"/>
          <w:szCs w:val="24"/>
          <w:lang w:val="en-IN"/>
        </w:rPr>
        <w:br/>
        <w:t>Highlights how obesity is distributed across age groups and risk levels. A key indicator of chronic disease risk, this chart reveals how strongly obesity aligns with High-Risk segments.</w:t>
      </w:r>
    </w:p>
    <w:p w14:paraId="666C717B" w14:textId="77777777" w:rsidR="00827241" w:rsidRDefault="00827241">
      <w:pPr>
        <w:rPr>
          <w:rFonts w:ascii="Aptos" w:hAnsi="Aptos"/>
          <w:sz w:val="24"/>
          <w:szCs w:val="24"/>
        </w:rPr>
      </w:pPr>
    </w:p>
    <w:p w14:paraId="655DB4BA" w14:textId="56EB3157" w:rsidR="00827241" w:rsidRPr="00E71F0C" w:rsidRDefault="00827241">
      <w:pPr>
        <w:rPr>
          <w:rFonts w:ascii="Aptos" w:hAnsi="Aptos"/>
          <w:sz w:val="24"/>
          <w:szCs w:val="24"/>
        </w:rPr>
      </w:pPr>
      <w:r>
        <w:rPr>
          <w:noProof/>
        </w:rPr>
        <w:drawing>
          <wp:inline distT="0" distB="0" distL="0" distR="0" wp14:anchorId="17D0B46B" wp14:editId="74DABD83">
            <wp:extent cx="5486400" cy="3037396"/>
            <wp:effectExtent l="0" t="0" r="0" b="0"/>
            <wp:docPr id="3845292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29281" name="Picture 1" descr="A screenshot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37396"/>
                    </a:xfrm>
                    <a:prstGeom prst="rect">
                      <a:avLst/>
                    </a:prstGeom>
                  </pic:spPr>
                </pic:pic>
              </a:graphicData>
            </a:graphic>
          </wp:inline>
        </w:drawing>
      </w:r>
    </w:p>
    <w:sectPr w:rsidR="00827241" w:rsidRPr="00E71F0C" w:rsidSect="0082724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53515">
    <w:abstractNumId w:val="8"/>
  </w:num>
  <w:num w:numId="2" w16cid:durableId="1778787354">
    <w:abstractNumId w:val="6"/>
  </w:num>
  <w:num w:numId="3" w16cid:durableId="645205822">
    <w:abstractNumId w:val="5"/>
  </w:num>
  <w:num w:numId="4" w16cid:durableId="706300058">
    <w:abstractNumId w:val="4"/>
  </w:num>
  <w:num w:numId="5" w16cid:durableId="2113549339">
    <w:abstractNumId w:val="7"/>
  </w:num>
  <w:num w:numId="6" w16cid:durableId="1399747796">
    <w:abstractNumId w:val="3"/>
  </w:num>
  <w:num w:numId="7" w16cid:durableId="1034304159">
    <w:abstractNumId w:val="2"/>
  </w:num>
  <w:num w:numId="8" w16cid:durableId="1012755602">
    <w:abstractNumId w:val="1"/>
  </w:num>
  <w:num w:numId="9" w16cid:durableId="57458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210"/>
    <w:rsid w:val="00034616"/>
    <w:rsid w:val="0006063C"/>
    <w:rsid w:val="0015074B"/>
    <w:rsid w:val="001716AA"/>
    <w:rsid w:val="0029639D"/>
    <w:rsid w:val="00326F90"/>
    <w:rsid w:val="00827241"/>
    <w:rsid w:val="00AA1D8D"/>
    <w:rsid w:val="00B47730"/>
    <w:rsid w:val="00C657B2"/>
    <w:rsid w:val="00CB0664"/>
    <w:rsid w:val="00D55D1B"/>
    <w:rsid w:val="00E71F0C"/>
    <w:rsid w:val="00EB13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BD339"/>
  <w14:defaultImageDpi w14:val="300"/>
  <w15:docId w15:val="{5AC79C28-C4AA-9849-BE71-BB461F09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E71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80362">
      <w:bodyDiv w:val="1"/>
      <w:marLeft w:val="0"/>
      <w:marRight w:val="0"/>
      <w:marTop w:val="0"/>
      <w:marBottom w:val="0"/>
      <w:divBdr>
        <w:top w:val="none" w:sz="0" w:space="0" w:color="auto"/>
        <w:left w:val="none" w:sz="0" w:space="0" w:color="auto"/>
        <w:bottom w:val="none" w:sz="0" w:space="0" w:color="auto"/>
        <w:right w:val="none" w:sz="0" w:space="0" w:color="auto"/>
      </w:divBdr>
    </w:div>
    <w:div w:id="901792657">
      <w:bodyDiv w:val="1"/>
      <w:marLeft w:val="0"/>
      <w:marRight w:val="0"/>
      <w:marTop w:val="0"/>
      <w:marBottom w:val="0"/>
      <w:divBdr>
        <w:top w:val="none" w:sz="0" w:space="0" w:color="auto"/>
        <w:left w:val="none" w:sz="0" w:space="0" w:color="auto"/>
        <w:bottom w:val="none" w:sz="0" w:space="0" w:color="auto"/>
        <w:right w:val="none" w:sz="0" w:space="0" w:color="auto"/>
      </w:divBdr>
    </w:div>
    <w:div w:id="1007825178">
      <w:bodyDiv w:val="1"/>
      <w:marLeft w:val="0"/>
      <w:marRight w:val="0"/>
      <w:marTop w:val="0"/>
      <w:marBottom w:val="0"/>
      <w:divBdr>
        <w:top w:val="none" w:sz="0" w:space="0" w:color="auto"/>
        <w:left w:val="none" w:sz="0" w:space="0" w:color="auto"/>
        <w:bottom w:val="none" w:sz="0" w:space="0" w:color="auto"/>
        <w:right w:val="none" w:sz="0" w:space="0" w:color="auto"/>
      </w:divBdr>
    </w:div>
    <w:div w:id="1621954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Puneeth Kumar Amudala</cp:lastModifiedBy>
  <cp:revision>2</cp:revision>
  <dcterms:created xsi:type="dcterms:W3CDTF">2025-04-23T03:35:00Z</dcterms:created>
  <dcterms:modified xsi:type="dcterms:W3CDTF">2025-04-23T03:35:00Z</dcterms:modified>
  <cp:category/>
</cp:coreProperties>
</file>