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111" w:rsidRPr="005D6111" w:rsidRDefault="005D6111" w:rsidP="005D6111">
      <w:pPr>
        <w:spacing w:after="120" w:line="240" w:lineRule="auto"/>
        <w:outlineLvl w:val="0"/>
        <w:rPr>
          <w:rFonts w:ascii="Times New Roman" w:eastAsia="Times New Roman" w:hAnsi="Times New Roman" w:cs="Times New Roman"/>
          <w:b/>
          <w:bCs/>
          <w:kern w:val="36"/>
          <w:sz w:val="48"/>
          <w:szCs w:val="48"/>
          <w:lang w:eastAsia="en-IN"/>
        </w:rPr>
      </w:pPr>
      <w:r w:rsidRPr="005D6111">
        <w:rPr>
          <w:rFonts w:ascii="Arial" w:eastAsia="Times New Roman" w:hAnsi="Arial" w:cs="Arial"/>
          <w:b/>
          <w:bCs/>
          <w:color w:val="1F1F1F"/>
          <w:kern w:val="36"/>
          <w:sz w:val="48"/>
          <w:szCs w:val="48"/>
          <w:lang w:eastAsia="en-IN"/>
        </w:rPr>
        <w:t>The Architecture of Enterprise Vulnerability: A Comprehensive Analysis of Business and Startup Risks in 2026</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enterprise risk landscape in 2026 represents a structural departure from the cyclical volatilities of the previous decade. For founders, corporate boards, and early-stage entrepreneurs, the operating environment has decisively transitioned from an era of capital abundance and "growth-at-all-costs" to a stringent paradigm defined by rigorous capital discipline, geopolitical fragmentation, and the unprecedented acceleration of artificial intelligence. Business risk is no longer compartmentalized into isolated financial, operational, or strategic buckets; rather, it manifests as a cascading series of interdependent vulnerabilities. A localized regulatory shift in an emerging market, a misconfigured cloud environment, or an unresolved interpersonal dispute within a founding team can rapidly metastasize, threatening systemic enterprise failure.</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To navigate this highly complex ecosystem, business leaders must understand that survival requires more than just product-market fit; it demands profound structural resilience. The subsequent analysis dissects the empirical realities of startup mortality, the psychological fragility of founding teams, the complexities of venture capital alignment, the weaponization of artificial intelligence, macroeconomic instability, and the labyrinth of evolving global regulations. By systematically evaluating these vectors, this report synthesizes the primary, secondary, and tertiary risks confronting modern enterprises and outlines the strategic imperatives required for scaling operations sustainably into the late 2020s.</w:t>
      </w:r>
    </w:p>
    <w:p w:rsidR="005D6111" w:rsidRPr="005D6111" w:rsidRDefault="005D6111" w:rsidP="005D6111">
      <w:pPr>
        <w:spacing w:after="120" w:line="240" w:lineRule="auto"/>
        <w:outlineLvl w:val="1"/>
        <w:rPr>
          <w:rFonts w:ascii="Times New Roman" w:eastAsia="Times New Roman" w:hAnsi="Times New Roman" w:cs="Times New Roman"/>
          <w:b/>
          <w:bCs/>
          <w:sz w:val="36"/>
          <w:szCs w:val="36"/>
          <w:lang w:eastAsia="en-IN"/>
        </w:rPr>
      </w:pPr>
      <w:r w:rsidRPr="005D6111">
        <w:rPr>
          <w:rFonts w:ascii="Arial" w:eastAsia="Times New Roman" w:hAnsi="Arial" w:cs="Arial"/>
          <w:b/>
          <w:bCs/>
          <w:color w:val="1F1F1F"/>
          <w:sz w:val="36"/>
          <w:szCs w:val="36"/>
          <w:lang w:eastAsia="en-IN"/>
        </w:rPr>
        <w:t>The Empirical Landscape of Enterprise Mortality: Statistical Realities and Sectoral Dynamics</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foundational risk of any entrepreneurial venture remains its statistical likelihood of mortality. Despite advancements in venture capital deployment and operational frameworks, the aggregate failure rate of startups remains structurally static: approximately 90% of all startups eventually fail, with 10% collapsing within their first year of operation and 70% dissolving between years two and five.</w:t>
      </w:r>
      <w:r w:rsidRPr="005D6111">
        <w:rPr>
          <w:rFonts w:ascii="Arial" w:eastAsia="Times New Roman" w:hAnsi="Arial" w:cs="Arial"/>
          <w:color w:val="444746"/>
          <w:sz w:val="14"/>
          <w:szCs w:val="14"/>
          <w:vertAlign w:val="superscript"/>
          <w:lang w:eastAsia="en-IN"/>
        </w:rPr>
        <w:t>1</w:t>
      </w:r>
      <w:r w:rsidRPr="005D6111">
        <w:rPr>
          <w:rFonts w:ascii="Arial" w:eastAsia="Times New Roman" w:hAnsi="Arial" w:cs="Arial"/>
          <w:color w:val="1F1F1F"/>
          <w:lang w:eastAsia="en-IN"/>
        </w:rPr>
        <w:t xml:space="preserve"> For venture-backed entities, which theoretically benefit from enhanced governance and capital buffers, the failure rate still hovers around 75%, and only an estimated 1% of startups ever achieve "unicorn" status.</w:t>
      </w:r>
      <w:r w:rsidRPr="005D6111">
        <w:rPr>
          <w:rFonts w:ascii="Arial" w:eastAsia="Times New Roman" w:hAnsi="Arial" w:cs="Arial"/>
          <w:color w:val="444746"/>
          <w:sz w:val="14"/>
          <w:szCs w:val="14"/>
          <w:vertAlign w:val="superscript"/>
          <w:lang w:eastAsia="en-IN"/>
        </w:rPr>
        <w:t>1</w:t>
      </w:r>
      <w:r w:rsidRPr="005D6111">
        <w:rPr>
          <w:rFonts w:ascii="Arial" w:eastAsia="Times New Roman" w:hAnsi="Arial" w:cs="Arial"/>
          <w:color w:val="1F1F1F"/>
          <w:lang w:eastAsia="en-IN"/>
        </w:rPr>
        <w:t xml:space="preserve"> Furthermore, the success rate for first-time founders remains suppressed at a mere 18%.</w:t>
      </w:r>
      <w:r w:rsidRPr="005D6111">
        <w:rPr>
          <w:rFonts w:ascii="Arial" w:eastAsia="Times New Roman" w:hAnsi="Arial" w:cs="Arial"/>
          <w:color w:val="444746"/>
          <w:sz w:val="14"/>
          <w:szCs w:val="14"/>
          <w:vertAlign w:val="superscript"/>
          <w:lang w:eastAsia="en-IN"/>
        </w:rPr>
        <w:t>1</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However, looking strictly at the macroeconomic failure rate obscures the sector-specific nuances and the shifting anatomies of post-mortem business analyses in 2026. The risk profiles vary significantly depending on the capital intensity, regulatory exposure, and technological demands of the underlying industry.</w:t>
      </w:r>
    </w:p>
    <w:p w:rsidR="005D6111" w:rsidRPr="005D6111" w:rsidRDefault="005D6111" w:rsidP="005D6111">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675"/>
        <w:gridCol w:w="1581"/>
        <w:gridCol w:w="1551"/>
        <w:gridCol w:w="4203"/>
      </w:tblGrid>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Industry Sector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Five-Year Failure Rate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Five-Year Survival Rate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Primary Structural Vulnerabilities</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lastRenderedPageBreak/>
              <w:t>Technology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63.0%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37.0%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High pace of obsolescence, reliance on continuous venture funding, product-market fit failures, high customer acquisition costs.</w:t>
            </w:r>
            <w:r w:rsidRPr="005D6111">
              <w:rPr>
                <w:rFonts w:ascii="Arial" w:eastAsia="Times New Roman" w:hAnsi="Arial" w:cs="Arial"/>
                <w:color w:val="444746"/>
                <w:sz w:val="14"/>
                <w:szCs w:val="14"/>
                <w:vertAlign w:val="superscript"/>
                <w:lang w:eastAsia="en-IN"/>
              </w:rPr>
              <w:t>2</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Construction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63.6%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36.4%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Macroeconomic interest rate sensitivity, localized supply chain bottlenecks, chronic labor shortages.</w:t>
            </w:r>
            <w:r w:rsidRPr="005D6111">
              <w:rPr>
                <w:rFonts w:ascii="Arial" w:eastAsia="Times New Roman" w:hAnsi="Arial" w:cs="Arial"/>
                <w:color w:val="444746"/>
                <w:sz w:val="14"/>
                <w:szCs w:val="14"/>
                <w:vertAlign w:val="superscript"/>
                <w:lang w:eastAsia="en-IN"/>
              </w:rPr>
              <w:t>2</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Mining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48.7%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51.3%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Geopolitical export controls, commodity price volatility, immense initial CapEx requirements.</w:t>
            </w:r>
            <w:r w:rsidRPr="005D6111">
              <w:rPr>
                <w:rFonts w:ascii="Arial" w:eastAsia="Times New Roman" w:hAnsi="Arial" w:cs="Arial"/>
                <w:color w:val="444746"/>
                <w:sz w:val="14"/>
                <w:szCs w:val="14"/>
                <w:vertAlign w:val="superscript"/>
                <w:lang w:eastAsia="en-IN"/>
              </w:rPr>
              <w:t>2</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Healthcare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Moderate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Complex regulatory compliance, prolonged sales cycles, required integration with legacy enterprise infrastructure.</w:t>
            </w:r>
            <w:r w:rsidRPr="005D6111">
              <w:rPr>
                <w:rFonts w:ascii="Arial" w:eastAsia="Times New Roman" w:hAnsi="Arial" w:cs="Arial"/>
                <w:color w:val="444746"/>
                <w:sz w:val="14"/>
                <w:szCs w:val="14"/>
                <w:vertAlign w:val="superscript"/>
                <w:lang w:eastAsia="en-IN"/>
              </w:rPr>
              <w:t>2</w:t>
            </w:r>
          </w:p>
        </w:tc>
      </w:tr>
    </w:tbl>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technology sector persistently exhibits the highest failure rate of any industry, driven largely by the hyper-competitive nature of software distribution and the rapid burn rates associated with scaling operations prematurely.</w:t>
      </w:r>
      <w:r w:rsidRPr="005D6111">
        <w:rPr>
          <w:rFonts w:ascii="Arial" w:eastAsia="Times New Roman" w:hAnsi="Arial" w:cs="Arial"/>
          <w:color w:val="444746"/>
          <w:sz w:val="14"/>
          <w:szCs w:val="14"/>
          <w:vertAlign w:val="superscript"/>
          <w:lang w:eastAsia="en-IN"/>
        </w:rPr>
        <w:t>2</w:t>
      </w:r>
      <w:r w:rsidRPr="005D6111">
        <w:rPr>
          <w:rFonts w:ascii="Arial" w:eastAsia="Times New Roman" w:hAnsi="Arial" w:cs="Arial"/>
          <w:color w:val="1F1F1F"/>
          <w:lang w:eastAsia="en-IN"/>
        </w:rPr>
        <w:t xml:space="preserve"> A defining characteristic of startup mortality in the mid-2020s is the collapse of highly capitalized ventures that failed to reconcile their technical capabilities with basic unit economics. An extensive post-mortem analysis of failures spanning 2024 and 2025 reveals that the underlying business models of many startups quietly collapsed long before the companies officially shut down.</w:t>
      </w:r>
      <w:r w:rsidRPr="005D6111">
        <w:rPr>
          <w:rFonts w:ascii="Arial" w:eastAsia="Times New Roman" w:hAnsi="Arial" w:cs="Arial"/>
          <w:color w:val="444746"/>
          <w:sz w:val="14"/>
          <w:szCs w:val="14"/>
          <w:vertAlign w:val="superscript"/>
          <w:lang w:eastAsia="en-IN"/>
        </w:rPr>
        <w:t>3</w:t>
      </w:r>
      <w:r w:rsidRPr="005D6111">
        <w:rPr>
          <w:rFonts w:ascii="Arial" w:eastAsia="Times New Roman" w:hAnsi="Arial" w:cs="Arial"/>
          <w:color w:val="1F1F1F"/>
          <w:lang w:eastAsia="en-IN"/>
        </w:rPr>
        <w:t xml:space="preserve"> Founders frequently treated distribution as an afterthought, becoming the permanent "glue" holding fundamentally flawed operational structures together rather than building scalable systems.</w:t>
      </w:r>
      <w:r w:rsidRPr="005D6111">
        <w:rPr>
          <w:rFonts w:ascii="Arial" w:eastAsia="Times New Roman" w:hAnsi="Arial" w:cs="Arial"/>
          <w:color w:val="444746"/>
          <w:sz w:val="14"/>
          <w:szCs w:val="14"/>
          <w:vertAlign w:val="superscript"/>
          <w:lang w:eastAsia="en-IN"/>
        </w:rPr>
        <w:t>3</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Historical and contemporary mega-failures loom large over the ecosystem, serving as stark reminders of how rapidly billions of dollars in enterprise value can evaporate. High-profile collapses such as WeWork (which burned through $11.5 billion in the Real Estate/PropTech sector), FTX ($1.8 billion in Crypto/Fintech), and Terra/Luna ($207 million in Crypto/DeFi) underscore the fatal consequences of systemic governance failures, hyper-inflated valuations, and fundamentally flawed tokenomics or business models.</w:t>
      </w:r>
      <w:r w:rsidRPr="005D6111">
        <w:rPr>
          <w:rFonts w:ascii="Arial" w:eastAsia="Times New Roman" w:hAnsi="Arial" w:cs="Arial"/>
          <w:color w:val="444746"/>
          <w:sz w:val="14"/>
          <w:szCs w:val="14"/>
          <w:vertAlign w:val="superscript"/>
          <w:lang w:eastAsia="en-IN"/>
        </w:rPr>
        <w:t>4</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artificial intelligence sector, previously insulated by immense venture capital enthusiasm, is currently experiencing a severe rationalization phase. Industry analysts indicate that the cohort of AI startups launched during the 2022 generative AI boom burned through an average of $100 million in three years—a cash-burn velocity that doubles that of preceding technology generations.</w:t>
      </w:r>
      <w:r w:rsidRPr="005D6111">
        <w:rPr>
          <w:rFonts w:ascii="Arial" w:eastAsia="Times New Roman" w:hAnsi="Arial" w:cs="Arial"/>
          <w:color w:val="444746"/>
          <w:sz w:val="14"/>
          <w:szCs w:val="14"/>
          <w:vertAlign w:val="superscript"/>
          <w:lang w:eastAsia="en-IN"/>
        </w:rPr>
        <w:t>5</w:t>
      </w:r>
      <w:r w:rsidRPr="005D6111">
        <w:rPr>
          <w:rFonts w:ascii="Arial" w:eastAsia="Times New Roman" w:hAnsi="Arial" w:cs="Arial"/>
          <w:color w:val="1F1F1F"/>
          <w:lang w:eastAsia="en-IN"/>
        </w:rPr>
        <w:t xml:space="preserve"> Consequently, an estimated 85% of these early AI startups are projected to be out of business within three years.</w:t>
      </w:r>
      <w:r w:rsidRPr="005D6111">
        <w:rPr>
          <w:rFonts w:ascii="Arial" w:eastAsia="Times New Roman" w:hAnsi="Arial" w:cs="Arial"/>
          <w:color w:val="444746"/>
          <w:sz w:val="14"/>
          <w:szCs w:val="14"/>
          <w:vertAlign w:val="superscript"/>
          <w:lang w:eastAsia="en-IN"/>
        </w:rPr>
        <w:t>5</w:t>
      </w:r>
      <w:r w:rsidRPr="005D6111">
        <w:rPr>
          <w:rFonts w:ascii="Arial" w:eastAsia="Times New Roman" w:hAnsi="Arial" w:cs="Arial"/>
          <w:color w:val="1F1F1F"/>
          <w:lang w:eastAsia="en-IN"/>
        </w:rPr>
        <w:t xml:space="preserve"> The primary driver of this mortality is not a lack of funding, but structural inadequacies: approximately 85% of AI models and projects fail due to poor proprietary data quality, an inability to build defensible technological moats, and a reliance on generalized API wrappers that are quickly rendered obsolete by foundational model updates from major technology conglomerates.</w:t>
      </w:r>
      <w:r w:rsidRPr="005D6111">
        <w:rPr>
          <w:rFonts w:ascii="Arial" w:eastAsia="Times New Roman" w:hAnsi="Arial" w:cs="Arial"/>
          <w:color w:val="444746"/>
          <w:sz w:val="14"/>
          <w:szCs w:val="14"/>
          <w:vertAlign w:val="superscript"/>
          <w:lang w:eastAsia="en-IN"/>
        </w:rPr>
        <w:t>5</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A rigorous examination of specific high-profile failures in 2025 illuminates the specific, fatal risks embedded in both software and hardware ventures. The bankruptcy of Builder.ai, which burned through $445 million, serves as a paramount case study in "technological fraud" and systemic governance failure.</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Promoted as a revolutionary AI-powered, no-code application development platform capable of building software as easily as ordering food, internal revelations showed that much of the development was actually performed by hundreds of offshore human developers.</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The second-order effect of faking core capabilities was a catastrophic misrepresentation of gross margins and scalability, leading internal auditors to slash 2023-2024 sales projections by an astonishing 75%.</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Compounding this technological </w:t>
      </w:r>
      <w:r w:rsidRPr="005D6111">
        <w:rPr>
          <w:rFonts w:ascii="Arial" w:eastAsia="Times New Roman" w:hAnsi="Arial" w:cs="Arial"/>
          <w:color w:val="1F1F1F"/>
          <w:lang w:eastAsia="en-IN"/>
        </w:rPr>
        <w:lastRenderedPageBreak/>
        <w:t>facade was a severe lack of financial oversight; the company operated without a Chief Financial Officer (CFO) during critical scaling phases.</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This absence of fiscal control meant that when lenders eventually seized $37 million of the company's remaining $42 million in cash, the enterprise imploded.</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The lesson for founders is absolute: faking core technology when a business fundamentally depends on its margins is an unrecoverable error.</w:t>
      </w:r>
      <w:r w:rsidRPr="005D6111">
        <w:rPr>
          <w:rFonts w:ascii="Arial" w:eastAsia="Times New Roman" w:hAnsi="Arial" w:cs="Arial"/>
          <w:color w:val="444746"/>
          <w:sz w:val="14"/>
          <w:szCs w:val="14"/>
          <w:vertAlign w:val="superscript"/>
          <w:lang w:eastAsia="en-IN"/>
        </w:rPr>
        <w:t>6</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Conversely, the insolvency of Lilium, an electric vertical takeoff and landing (eVTOL) aircraft developer that burned through $1 billion in capital, exemplifies the lethal nature of hardware and deep-tech scaling.</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Unlike software, where product iterations are relatively inexpensive and code can be shipped continuously, hardware startups face binary outcomes dictated by unforgiving physical engineering constraints and immutable regulatory frameworks.</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Despite immense funding and partnerships with major automotive entities, Lilium's inability to achieve the technical performance targets required for stringent aviation certification highlights a critical third-order insight: when an enterprise relies on capital-intensive physical products, being too early to a market where the regulatory framework and underlying science are immature is functionally indistinguishable from being completely wrong.</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Similar hardware failures in 2025, such as electric vehicle manufacturer Canoo and semiconductor startup Rain AI, reinforce the reality that competing with established manufacturing giants requires supply chain expertise and deep pockets that most startups inherently lack.</w:t>
      </w:r>
      <w:r w:rsidRPr="005D6111">
        <w:rPr>
          <w:rFonts w:ascii="Arial" w:eastAsia="Times New Roman" w:hAnsi="Arial" w:cs="Arial"/>
          <w:color w:val="444746"/>
          <w:sz w:val="14"/>
          <w:szCs w:val="14"/>
          <w:vertAlign w:val="superscript"/>
          <w:lang w:eastAsia="en-IN"/>
        </w:rPr>
        <w:t>6</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Other post-mortem data highlights that companies often succumb to regulatory risks or poor market timing. EasyKnock serves as a cautionary tale in "legally questionable" business models; when a company's revenue relies on evading consumer protection laws, it rapidly transforms into a "lawsuit factory" rather than a sustainable business, eventually suffocating under the weight of state investigations.</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Meanwhile, companies like Pandion, which experienced massive success during the pandemic-era e-commerce boom, collapsed as markets normalized in 2025 and consumer behavior reverted to pre-pandemic baselines.</w:t>
      </w:r>
      <w:r w:rsidRPr="005D6111">
        <w:rPr>
          <w:rFonts w:ascii="Arial" w:eastAsia="Times New Roman" w:hAnsi="Arial" w:cs="Arial"/>
          <w:color w:val="444746"/>
          <w:sz w:val="14"/>
          <w:szCs w:val="14"/>
          <w:vertAlign w:val="superscript"/>
          <w:lang w:eastAsia="en-IN"/>
        </w:rPr>
        <w:t>6</w:t>
      </w:r>
    </w:p>
    <w:p w:rsidR="005D6111" w:rsidRPr="005D6111" w:rsidRDefault="005D6111" w:rsidP="005D6111">
      <w:pPr>
        <w:spacing w:after="120" w:line="240" w:lineRule="auto"/>
        <w:outlineLvl w:val="1"/>
        <w:rPr>
          <w:rFonts w:ascii="Times New Roman" w:eastAsia="Times New Roman" w:hAnsi="Times New Roman" w:cs="Times New Roman"/>
          <w:b/>
          <w:bCs/>
          <w:sz w:val="36"/>
          <w:szCs w:val="36"/>
          <w:lang w:eastAsia="en-IN"/>
        </w:rPr>
      </w:pPr>
      <w:r w:rsidRPr="005D6111">
        <w:rPr>
          <w:rFonts w:ascii="Arial" w:eastAsia="Times New Roman" w:hAnsi="Arial" w:cs="Arial"/>
          <w:b/>
          <w:bCs/>
          <w:color w:val="1F1F1F"/>
          <w:sz w:val="36"/>
          <w:szCs w:val="36"/>
          <w:lang w:eastAsia="en-IN"/>
        </w:rPr>
        <w:t>Redefining Product Viability: From MVP to Agentic Workflows</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To avoid becoming part of these mortality statistics, founders in 2026 must fundamentally restructure their approach to product development and market validation. The journey from an initial idea to a Minimum Viable Product (MVP) has evolved from a simple "launch and see" approach to a highly disciplined, data-driven methodology.</w:t>
      </w:r>
      <w:r w:rsidRPr="005D6111">
        <w:rPr>
          <w:rFonts w:ascii="Arial" w:eastAsia="Times New Roman" w:hAnsi="Arial" w:cs="Arial"/>
          <w:color w:val="444746"/>
          <w:sz w:val="14"/>
          <w:szCs w:val="14"/>
          <w:vertAlign w:val="superscript"/>
          <w:lang w:eastAsia="en-IN"/>
        </w:rPr>
        <w:t>7</w:t>
      </w:r>
      <w:r w:rsidRPr="005D6111">
        <w:rPr>
          <w:rFonts w:ascii="Arial" w:eastAsia="Times New Roman" w:hAnsi="Arial" w:cs="Arial"/>
          <w:color w:val="1F1F1F"/>
          <w:lang w:eastAsia="en-IN"/>
        </w:rPr>
        <w:t xml:space="preserve"> While the financial cost of writing code has plummeted due to AI-assisted engineering tools, the "cost of attention" in a saturated digital landscape has skyrocketed.</w:t>
      </w:r>
      <w:r w:rsidRPr="005D6111">
        <w:rPr>
          <w:rFonts w:ascii="Arial" w:eastAsia="Times New Roman" w:hAnsi="Arial" w:cs="Arial"/>
          <w:color w:val="444746"/>
          <w:sz w:val="14"/>
          <w:szCs w:val="14"/>
          <w:vertAlign w:val="superscript"/>
          <w:lang w:eastAsia="en-IN"/>
        </w:rPr>
        <w:t>7</w:t>
      </w:r>
      <w:r w:rsidRPr="005D6111">
        <w:rPr>
          <w:rFonts w:ascii="Arial" w:eastAsia="Times New Roman" w:hAnsi="Arial" w:cs="Arial"/>
          <w:color w:val="1F1F1F"/>
          <w:lang w:eastAsia="en-IN"/>
        </w:rPr>
        <w:t xml:space="preserve"> Founders can no longer afford the hubris of the "build it and they will come" philosophy.</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This environment demands a critical shift from "Product First" thinking to "Problem First" thinking.</w:t>
      </w:r>
      <w:r w:rsidRPr="005D6111">
        <w:rPr>
          <w:rFonts w:ascii="Arial" w:eastAsia="Times New Roman" w:hAnsi="Arial" w:cs="Arial"/>
          <w:color w:val="444746"/>
          <w:sz w:val="14"/>
          <w:szCs w:val="14"/>
          <w:vertAlign w:val="superscript"/>
          <w:lang w:eastAsia="en-IN"/>
        </w:rPr>
        <w:t>7</w:t>
      </w:r>
      <w:r w:rsidRPr="005D6111">
        <w:rPr>
          <w:rFonts w:ascii="Arial" w:eastAsia="Times New Roman" w:hAnsi="Arial" w:cs="Arial"/>
          <w:color w:val="1F1F1F"/>
          <w:lang w:eastAsia="en-IN"/>
        </w:rPr>
        <w:t xml:space="preserve"> A prevalent vulnerability is falling into the "Build Trap," where immense engineering resources are expended to solve a problem that possesses no real market demand.</w:t>
      </w:r>
      <w:r w:rsidRPr="005D6111">
        <w:rPr>
          <w:rFonts w:ascii="Arial" w:eastAsia="Times New Roman" w:hAnsi="Arial" w:cs="Arial"/>
          <w:color w:val="444746"/>
          <w:sz w:val="14"/>
          <w:szCs w:val="14"/>
          <w:vertAlign w:val="superscript"/>
          <w:lang w:eastAsia="en-IN"/>
        </w:rPr>
        <w:t>7</w:t>
      </w:r>
      <w:r w:rsidRPr="005D6111">
        <w:rPr>
          <w:rFonts w:ascii="Arial" w:eastAsia="Times New Roman" w:hAnsi="Arial" w:cs="Arial"/>
          <w:color w:val="1F1F1F"/>
          <w:lang w:eastAsia="en-IN"/>
        </w:rPr>
        <w:t xml:space="preserve"> Startups frequently construct phenomenal, generalized technology without productizing it for a single, focused market.</w:t>
      </w:r>
      <w:r w:rsidRPr="005D6111">
        <w:rPr>
          <w:rFonts w:ascii="Arial" w:eastAsia="Times New Roman" w:hAnsi="Arial" w:cs="Arial"/>
          <w:color w:val="444746"/>
          <w:sz w:val="14"/>
          <w:szCs w:val="14"/>
          <w:vertAlign w:val="superscript"/>
          <w:lang w:eastAsia="en-IN"/>
        </w:rPr>
        <w:t>8</w:t>
      </w:r>
      <w:r w:rsidRPr="005D6111">
        <w:rPr>
          <w:rFonts w:ascii="Arial" w:eastAsia="Times New Roman" w:hAnsi="Arial" w:cs="Arial"/>
          <w:color w:val="1F1F1F"/>
          <w:lang w:eastAsia="en-IN"/>
        </w:rPr>
        <w:t xml:space="preserve"> As a result, they fail to establish domain expertise, endure prolonged and highly customized sales cycles, and ultimately suffer from unsustainable customer acquisition costs.</w:t>
      </w:r>
      <w:r w:rsidRPr="005D6111">
        <w:rPr>
          <w:rFonts w:ascii="Arial" w:eastAsia="Times New Roman" w:hAnsi="Arial" w:cs="Arial"/>
          <w:color w:val="444746"/>
          <w:sz w:val="14"/>
          <w:szCs w:val="14"/>
          <w:vertAlign w:val="superscript"/>
          <w:lang w:eastAsia="en-IN"/>
        </w:rPr>
        <w:t>8</w:t>
      </w:r>
      <w:r w:rsidRPr="005D6111">
        <w:rPr>
          <w:rFonts w:ascii="Arial" w:eastAsia="Times New Roman" w:hAnsi="Arial" w:cs="Arial"/>
          <w:color w:val="1F1F1F"/>
          <w:lang w:eastAsia="en-IN"/>
        </w:rPr>
        <w:t xml:space="preserve"> This dynamic often leads to a "Feature Desert"—a product state where users are overwhelmed by complex options but drastically underwhelmed by actual value.</w:t>
      </w:r>
      <w:r w:rsidRPr="005D6111">
        <w:rPr>
          <w:rFonts w:ascii="Arial" w:eastAsia="Times New Roman" w:hAnsi="Arial" w:cs="Arial"/>
          <w:color w:val="444746"/>
          <w:sz w:val="14"/>
          <w:szCs w:val="14"/>
          <w:vertAlign w:val="superscript"/>
          <w:lang w:eastAsia="en-IN"/>
        </w:rPr>
        <w:t>7</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2026 startup ecosystem demands that products deliver an "Inference Advantage".</w:t>
      </w:r>
      <w:r w:rsidRPr="005D6111">
        <w:rPr>
          <w:rFonts w:ascii="Arial" w:eastAsia="Times New Roman" w:hAnsi="Arial" w:cs="Arial"/>
          <w:color w:val="444746"/>
          <w:sz w:val="14"/>
          <w:szCs w:val="14"/>
          <w:vertAlign w:val="superscript"/>
          <w:lang w:eastAsia="en-IN"/>
        </w:rPr>
        <w:t>7</w:t>
      </w:r>
      <w:r w:rsidRPr="005D6111">
        <w:rPr>
          <w:rFonts w:ascii="Arial" w:eastAsia="Times New Roman" w:hAnsi="Arial" w:cs="Arial"/>
          <w:color w:val="1F1F1F"/>
          <w:lang w:eastAsia="en-IN"/>
        </w:rPr>
        <w:t xml:space="preserve"> An MVP must not only function flawlessly but must actively extract proprietary data about user behavior that competitors cannot easily replicate.</w:t>
      </w:r>
      <w:r w:rsidRPr="005D6111">
        <w:rPr>
          <w:rFonts w:ascii="Arial" w:eastAsia="Times New Roman" w:hAnsi="Arial" w:cs="Arial"/>
          <w:color w:val="444746"/>
          <w:sz w:val="14"/>
          <w:szCs w:val="14"/>
          <w:vertAlign w:val="superscript"/>
          <w:lang w:eastAsia="en-IN"/>
        </w:rPr>
        <w:t>7</w:t>
      </w:r>
      <w:r w:rsidRPr="005D6111">
        <w:rPr>
          <w:rFonts w:ascii="Arial" w:eastAsia="Times New Roman" w:hAnsi="Arial" w:cs="Arial"/>
          <w:color w:val="1F1F1F"/>
          <w:lang w:eastAsia="en-IN"/>
        </w:rPr>
        <w:t xml:space="preserve"> Early discovery calls, small paid trials, and pre-orders are now considered far superior indicators of viability than internal assumptions or extensive feature planning.</w:t>
      </w:r>
      <w:r w:rsidRPr="005D6111">
        <w:rPr>
          <w:rFonts w:ascii="Arial" w:eastAsia="Times New Roman" w:hAnsi="Arial" w:cs="Arial"/>
          <w:color w:val="444746"/>
          <w:sz w:val="14"/>
          <w:szCs w:val="14"/>
          <w:vertAlign w:val="superscript"/>
          <w:lang w:eastAsia="en-IN"/>
        </w:rPr>
        <w:t>5</w:t>
      </w:r>
      <w:r w:rsidRPr="005D6111">
        <w:rPr>
          <w:rFonts w:ascii="Arial" w:eastAsia="Times New Roman" w:hAnsi="Arial" w:cs="Arial"/>
          <w:color w:val="1F1F1F"/>
          <w:lang w:eastAsia="en-IN"/>
        </w:rPr>
        <w:t xml:space="preserve"> Structured testing of headlines, positioning statements, and </w:t>
      </w:r>
      <w:r w:rsidRPr="005D6111">
        <w:rPr>
          <w:rFonts w:ascii="Arial" w:eastAsia="Times New Roman" w:hAnsi="Arial" w:cs="Arial"/>
          <w:color w:val="1F1F1F"/>
          <w:lang w:eastAsia="en-IN"/>
        </w:rPr>
        <w:lastRenderedPageBreak/>
        <w:t>outreach scripts must be treated as rigorous scientific experiments run in short cycles to determine market resonance before scaling capital deployment.</w:t>
      </w:r>
      <w:r w:rsidRPr="005D6111">
        <w:rPr>
          <w:rFonts w:ascii="Arial" w:eastAsia="Times New Roman" w:hAnsi="Arial" w:cs="Arial"/>
          <w:color w:val="444746"/>
          <w:sz w:val="14"/>
          <w:szCs w:val="14"/>
          <w:vertAlign w:val="superscript"/>
          <w:lang w:eastAsia="en-IN"/>
        </w:rPr>
        <w:t>5</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Furthermore, the operational architecture of sustainable startups has shifted dramatically. The focus is no longer on using AI as a mere "assistant" to human workers, but rather deploying AI as "agents" capable of managing outcomes autonomously.</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Successful startups are moving away from traditional hiring models that fill specific human tasks, opting instead to hire personnel capable of orchestrating complex, autonomous agentic workflows.</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For example, these AI workflows can now autonomously identify prospects, research complex financial filings, and draft highly personalized outreach pitches, effectively replacing entire tiers of traditional Sales Development Representatives (SDRs) and Account Executives (AEs).</w:t>
      </w:r>
      <w:r w:rsidRPr="005D6111">
        <w:rPr>
          <w:rFonts w:ascii="Arial" w:eastAsia="Times New Roman" w:hAnsi="Arial" w:cs="Arial"/>
          <w:color w:val="444746"/>
          <w:sz w:val="14"/>
          <w:szCs w:val="14"/>
          <w:vertAlign w:val="superscript"/>
          <w:lang w:eastAsia="en-IN"/>
        </w:rPr>
        <w:t>6</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This operational leverage fundamentally alters the metrics of startup success. The primary key performance indicator (KPI) for operational sustainability is no longer sheer headcount, but Revenue Per Employee (RPE).</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While traditional software-as-a-service (SaaS) benchmarks aimed for $150,000 to $200,000 per employee, the 2026 target for AI-native startups is $500,000 or more.</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By leveraging orchestration over raw labor, elite startups are proving capable of reaching $2 million in Annual Recurring Revenue (ARR) with fewer than five human employees.</w:t>
      </w:r>
      <w:r w:rsidRPr="005D6111">
        <w:rPr>
          <w:rFonts w:ascii="Arial" w:eastAsia="Times New Roman" w:hAnsi="Arial" w:cs="Arial"/>
          <w:color w:val="444746"/>
          <w:sz w:val="14"/>
          <w:szCs w:val="14"/>
          <w:vertAlign w:val="superscript"/>
          <w:lang w:eastAsia="en-IN"/>
        </w:rPr>
        <w:t>6</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To protect these high-margin operations from commoditization, founders must build defensible moats. This involves creating "Data Flywheels" where proprietary user interactions continuously train Domain-Specific Models (DSLM), allowing the product to understand industry-specific nuances far better than generalized models like GPT-4 or Claude.</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Additionally, founders are prioritizing "owned channels" for distribution.</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Relying on social media algorithms for top-of-funnel discovery introduces severe platform risk; instead, successful founders use social media strictly to funnel users into owned databases, newsletters, or private communities where algorithmic changes cannot sever the direct connection to the customer base.</w:t>
      </w:r>
      <w:r w:rsidRPr="005D6111">
        <w:rPr>
          <w:rFonts w:ascii="Arial" w:eastAsia="Times New Roman" w:hAnsi="Arial" w:cs="Arial"/>
          <w:color w:val="444746"/>
          <w:sz w:val="14"/>
          <w:szCs w:val="14"/>
          <w:vertAlign w:val="superscript"/>
          <w:lang w:eastAsia="en-IN"/>
        </w:rPr>
        <w:t>6</w:t>
      </w:r>
    </w:p>
    <w:p w:rsidR="005D6111" w:rsidRPr="005D6111" w:rsidRDefault="005D6111" w:rsidP="005D6111">
      <w:pPr>
        <w:spacing w:after="120" w:line="240" w:lineRule="auto"/>
        <w:outlineLvl w:val="1"/>
        <w:rPr>
          <w:rFonts w:ascii="Times New Roman" w:eastAsia="Times New Roman" w:hAnsi="Times New Roman" w:cs="Times New Roman"/>
          <w:b/>
          <w:bCs/>
          <w:sz w:val="36"/>
          <w:szCs w:val="36"/>
          <w:lang w:eastAsia="en-IN"/>
        </w:rPr>
      </w:pPr>
      <w:r w:rsidRPr="005D6111">
        <w:rPr>
          <w:rFonts w:ascii="Arial" w:eastAsia="Times New Roman" w:hAnsi="Arial" w:cs="Arial"/>
          <w:b/>
          <w:bCs/>
          <w:color w:val="1F1F1F"/>
          <w:sz w:val="36"/>
          <w:szCs w:val="36"/>
          <w:lang w:eastAsia="en-IN"/>
        </w:rPr>
        <w:t>Capital Formation Strategies and Venture Financing Vulnerabilities</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Venture capital operates on a strict power-law distribution where the vast majority of investments fail to return capital, and the entire ecosystem relies on a microscopic percentage of outsized successes to generate aggregate portfolio returns.</w:t>
      </w:r>
      <w:r w:rsidRPr="005D6111">
        <w:rPr>
          <w:rFonts w:ascii="Arial" w:eastAsia="Times New Roman" w:hAnsi="Arial" w:cs="Arial"/>
          <w:color w:val="444746"/>
          <w:sz w:val="14"/>
          <w:szCs w:val="14"/>
          <w:vertAlign w:val="superscript"/>
          <w:lang w:eastAsia="en-IN"/>
        </w:rPr>
        <w:t>9</w:t>
      </w:r>
      <w:r w:rsidRPr="005D6111">
        <w:rPr>
          <w:rFonts w:ascii="Arial" w:eastAsia="Times New Roman" w:hAnsi="Arial" w:cs="Arial"/>
          <w:color w:val="1F1F1F"/>
          <w:lang w:eastAsia="en-IN"/>
        </w:rPr>
        <w:t xml:space="preserve"> For founders, interacting with this high-risk, high-reward asset class introduces severe financial, operational, and governance risks, particularly in an environment characterized by tighter liquidity and volatile market corrections.</w:t>
      </w:r>
      <w:r w:rsidRPr="005D6111">
        <w:rPr>
          <w:rFonts w:ascii="Arial" w:eastAsia="Times New Roman" w:hAnsi="Arial" w:cs="Arial"/>
          <w:color w:val="444746"/>
          <w:sz w:val="14"/>
          <w:szCs w:val="14"/>
          <w:vertAlign w:val="superscript"/>
          <w:lang w:eastAsia="en-IN"/>
        </w:rPr>
        <w:t>9</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financing patterns of modern venture capital typically progress through distinct stages: pre-seed, seed, Series A, B, C, and D, with each round representing an escalation in required company maturity and a shifting investor risk tolerance.</w:t>
      </w:r>
      <w:r w:rsidRPr="005D6111">
        <w:rPr>
          <w:rFonts w:ascii="Arial" w:eastAsia="Times New Roman" w:hAnsi="Arial" w:cs="Arial"/>
          <w:color w:val="444746"/>
          <w:sz w:val="14"/>
          <w:szCs w:val="14"/>
          <w:vertAlign w:val="superscript"/>
          <w:lang w:eastAsia="en-IN"/>
        </w:rPr>
        <w:t>10</w:t>
      </w:r>
      <w:r w:rsidRPr="005D6111">
        <w:rPr>
          <w:rFonts w:ascii="Arial" w:eastAsia="Times New Roman" w:hAnsi="Arial" w:cs="Arial"/>
          <w:color w:val="1F1F1F"/>
          <w:lang w:eastAsia="en-IN"/>
        </w:rPr>
        <w:t xml:space="preserve"> In 2026, the data reveals a complex funding environment. While early-stage activity remains robust, with pre-seed valuation "caps" experiencing a slight increase, general seed valuations have shown marginal declines.</w:t>
      </w:r>
      <w:r w:rsidRPr="005D6111">
        <w:rPr>
          <w:rFonts w:ascii="Arial" w:eastAsia="Times New Roman" w:hAnsi="Arial" w:cs="Arial"/>
          <w:color w:val="444746"/>
          <w:sz w:val="14"/>
          <w:szCs w:val="14"/>
          <w:vertAlign w:val="superscript"/>
          <w:lang w:eastAsia="en-IN"/>
        </w:rPr>
        <w:t>11</w:t>
      </w:r>
      <w:r w:rsidRPr="005D6111">
        <w:rPr>
          <w:rFonts w:ascii="Arial" w:eastAsia="Times New Roman" w:hAnsi="Arial" w:cs="Arial"/>
          <w:color w:val="1F1F1F"/>
          <w:lang w:eastAsia="en-IN"/>
        </w:rPr>
        <w:t xml:space="preserve"> However, these metrics are heavily distorted by the emergence of "mega-rounds" in the AI sector—such as $2 billion "seed" investments injected into foundational model companies—which skew aggregate market data and obscure the tighter reality faced by traditional software startups.</w:t>
      </w:r>
      <w:r w:rsidRPr="005D6111">
        <w:rPr>
          <w:rFonts w:ascii="Arial" w:eastAsia="Times New Roman" w:hAnsi="Arial" w:cs="Arial"/>
          <w:color w:val="444746"/>
          <w:sz w:val="14"/>
          <w:szCs w:val="14"/>
          <w:vertAlign w:val="superscript"/>
          <w:lang w:eastAsia="en-IN"/>
        </w:rPr>
        <w:t>11</w:t>
      </w:r>
      <w:r w:rsidRPr="005D6111">
        <w:rPr>
          <w:rFonts w:ascii="Arial" w:eastAsia="Times New Roman" w:hAnsi="Arial" w:cs="Arial"/>
          <w:color w:val="1F1F1F"/>
          <w:lang w:eastAsia="en-IN"/>
        </w:rPr>
        <w:t xml:space="preserve"> To successfully fundraise in this bifurcated market, entrepreneurs must showcase exceptional capital efficiency, early traction (even at the pre-revenue stage), and a compelling narrative, often requiring pitches to 100-200 prospective investors.</w:t>
      </w:r>
      <w:r w:rsidRPr="005D6111">
        <w:rPr>
          <w:rFonts w:ascii="Arial" w:eastAsia="Times New Roman" w:hAnsi="Arial" w:cs="Arial"/>
          <w:color w:val="444746"/>
          <w:sz w:val="14"/>
          <w:szCs w:val="14"/>
          <w:vertAlign w:val="superscript"/>
          <w:lang w:eastAsia="en-IN"/>
        </w:rPr>
        <w:t>11</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lastRenderedPageBreak/>
        <w:t>A significant trend in early-stage financing is the increasing prominence of Corporate Venture Capital (CVC). CVCs are actively deploying significant capital into early rounds, particularly in AI and machine learning, driven by both financial return expectations and strategic corporate imperatives.</w:t>
      </w:r>
      <w:r w:rsidRPr="005D6111">
        <w:rPr>
          <w:rFonts w:ascii="Arial" w:eastAsia="Times New Roman" w:hAnsi="Arial" w:cs="Arial"/>
          <w:color w:val="444746"/>
          <w:sz w:val="14"/>
          <w:szCs w:val="14"/>
          <w:vertAlign w:val="superscript"/>
          <w:lang w:eastAsia="en-IN"/>
        </w:rPr>
        <w:t>12</w:t>
      </w:r>
      <w:r w:rsidRPr="005D6111">
        <w:rPr>
          <w:rFonts w:ascii="Arial" w:eastAsia="Times New Roman" w:hAnsi="Arial" w:cs="Arial"/>
          <w:color w:val="1F1F1F"/>
          <w:lang w:eastAsia="en-IN"/>
        </w:rPr>
        <w:t xml:space="preserve"> Large firms possessing massive reserves of "dry powder" are controlling the market environment, frequently backing exceptional technical talent even in the absence of mature financial metrics.</w:t>
      </w:r>
      <w:r w:rsidRPr="005D6111">
        <w:rPr>
          <w:rFonts w:ascii="Arial" w:eastAsia="Times New Roman" w:hAnsi="Arial" w:cs="Arial"/>
          <w:color w:val="444746"/>
          <w:sz w:val="14"/>
          <w:szCs w:val="14"/>
          <w:vertAlign w:val="superscript"/>
          <w:lang w:eastAsia="en-IN"/>
        </w:rPr>
        <w:t>12</w:t>
      </w:r>
      <w:r w:rsidRPr="005D6111">
        <w:rPr>
          <w:rFonts w:ascii="Arial" w:eastAsia="Times New Roman" w:hAnsi="Arial" w:cs="Arial"/>
          <w:color w:val="1F1F1F"/>
          <w:lang w:eastAsia="en-IN"/>
        </w:rPr>
        <w:t xml:space="preserve"> However, the broader venture market is constrained by a lack of distributions; because the IPO window has remained largely closed, many venture firms are unable to restock capital stores, creating localized liquidity droughts for startups seeking Series B and C funding.</w:t>
      </w:r>
      <w:r w:rsidRPr="005D6111">
        <w:rPr>
          <w:rFonts w:ascii="Arial" w:eastAsia="Times New Roman" w:hAnsi="Arial" w:cs="Arial"/>
          <w:color w:val="444746"/>
          <w:sz w:val="14"/>
          <w:szCs w:val="14"/>
          <w:vertAlign w:val="superscript"/>
          <w:lang w:eastAsia="en-IN"/>
        </w:rPr>
        <w:t>12</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primary vulnerability for founders during early-stage capital formation occurs through the use of convertible instruments, most notably the Simple Agreement for Future Equity (SAFE). While SAFEs are praised for their speed, standardized legal framework, and founder-friendly simplicity at the time of signing, their mechanical realities hide profound dilution risks that only materialize during later priced equity rounds (such as a Series A).</w:t>
      </w:r>
      <w:r w:rsidRPr="005D6111">
        <w:rPr>
          <w:rFonts w:ascii="Arial" w:eastAsia="Times New Roman" w:hAnsi="Arial" w:cs="Arial"/>
          <w:color w:val="444746"/>
          <w:sz w:val="14"/>
          <w:szCs w:val="14"/>
          <w:vertAlign w:val="superscript"/>
          <w:lang w:eastAsia="en-IN"/>
        </w:rPr>
        <w:t>13</w:t>
      </w:r>
      <w:r w:rsidRPr="005D6111">
        <w:rPr>
          <w:rFonts w:ascii="Arial" w:eastAsia="Times New Roman" w:hAnsi="Arial" w:cs="Arial"/>
          <w:color w:val="1F1F1F"/>
          <w:lang w:eastAsia="en-IN"/>
        </w:rPr>
        <w:t xml:space="preserve"> Founders frequently issue multiple SAFEs without aggressively and accurately modeling their capitalization tables.</w:t>
      </w:r>
      <w:r w:rsidRPr="005D6111">
        <w:rPr>
          <w:rFonts w:ascii="Arial" w:eastAsia="Times New Roman" w:hAnsi="Arial" w:cs="Arial"/>
          <w:color w:val="444746"/>
          <w:sz w:val="14"/>
          <w:szCs w:val="14"/>
          <w:vertAlign w:val="superscript"/>
          <w:lang w:eastAsia="en-IN"/>
        </w:rPr>
        <w:t>13</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mathematical reality of SAFE conversions can be devastating. A standard "Cap and Discount" SAFE gives the investor the benefit of whichever provision produces more shares at conversion.</w:t>
      </w:r>
      <w:r w:rsidRPr="005D6111">
        <w:rPr>
          <w:rFonts w:ascii="Arial" w:eastAsia="Times New Roman" w:hAnsi="Arial" w:cs="Arial"/>
          <w:color w:val="444746"/>
          <w:sz w:val="14"/>
          <w:szCs w:val="14"/>
          <w:vertAlign w:val="superscript"/>
          <w:lang w:eastAsia="en-IN"/>
        </w:rPr>
        <w:t>13</w:t>
      </w:r>
      <w:r w:rsidRPr="005D6111">
        <w:rPr>
          <w:rFonts w:ascii="Arial" w:eastAsia="Times New Roman" w:hAnsi="Arial" w:cs="Arial"/>
          <w:color w:val="1F1F1F"/>
          <w:lang w:eastAsia="en-IN"/>
        </w:rPr>
        <w:t xml:space="preserve"> While appropriate for the earliest angel investors taking the highest risk, stacking multiple capped SAFEs at varying valuations can strip founders of majority ownership and voting control instantaneously upon the first priced round.</w:t>
      </w:r>
      <w:r w:rsidRPr="005D6111">
        <w:rPr>
          <w:rFonts w:ascii="Arial" w:eastAsia="Times New Roman" w:hAnsi="Arial" w:cs="Arial"/>
          <w:color w:val="444746"/>
          <w:sz w:val="14"/>
          <w:szCs w:val="14"/>
          <w:vertAlign w:val="superscript"/>
          <w:lang w:eastAsia="en-IN"/>
        </w:rPr>
        <w:t>13</w:t>
      </w:r>
      <w:r w:rsidRPr="005D6111">
        <w:rPr>
          <w:rFonts w:ascii="Arial" w:eastAsia="Times New Roman" w:hAnsi="Arial" w:cs="Arial"/>
          <w:color w:val="1F1F1F"/>
          <w:lang w:eastAsia="en-IN"/>
        </w:rPr>
        <w:t xml:space="preserve"> Furthermore, "Uncapped Most Favored Nation (MFN)" SAFEs, which offer no valuation cap but guarantee the investor the best terms offered to subsequent SAFE investors, expose the company to systemic, cascading dilution.</w:t>
      </w:r>
      <w:r w:rsidRPr="005D6111">
        <w:rPr>
          <w:rFonts w:ascii="Arial" w:eastAsia="Times New Roman" w:hAnsi="Arial" w:cs="Arial"/>
          <w:color w:val="444746"/>
          <w:sz w:val="14"/>
          <w:szCs w:val="14"/>
          <w:vertAlign w:val="superscript"/>
          <w:lang w:eastAsia="en-IN"/>
        </w:rPr>
        <w:t>13</w:t>
      </w:r>
      <w:r w:rsidRPr="005D6111">
        <w:rPr>
          <w:rFonts w:ascii="Arial" w:eastAsia="Times New Roman" w:hAnsi="Arial" w:cs="Arial"/>
          <w:color w:val="1F1F1F"/>
          <w:lang w:eastAsia="en-IN"/>
        </w:rPr>
        <w:t xml:space="preserve"> Founders must treat pre-Series A capitalization modeling not as an administrative chore, but as a critical strategic skill to ensure they enter priced rounds from a position of negotiating strength.</w:t>
      </w:r>
      <w:r w:rsidRPr="005D6111">
        <w:rPr>
          <w:rFonts w:ascii="Arial" w:eastAsia="Times New Roman" w:hAnsi="Arial" w:cs="Arial"/>
          <w:color w:val="444746"/>
          <w:sz w:val="14"/>
          <w:szCs w:val="14"/>
          <w:vertAlign w:val="superscript"/>
          <w:lang w:eastAsia="en-IN"/>
        </w:rPr>
        <w:t>13</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Given the high cost of venture equity, elite founders in 2026 are increasingly turning to Revenue-Based Financing (RBF) as a superior alternative for application-layer startups.</w:t>
      </w:r>
      <w:r w:rsidRPr="005D6111">
        <w:rPr>
          <w:rFonts w:ascii="Arial" w:eastAsia="Times New Roman" w:hAnsi="Arial" w:cs="Arial"/>
          <w:color w:val="444746"/>
          <w:sz w:val="14"/>
          <w:szCs w:val="14"/>
          <w:vertAlign w:val="superscript"/>
          <w:lang w:eastAsia="en-IN"/>
        </w:rPr>
        <w:t>6</w:t>
      </w:r>
      <w:r w:rsidRPr="005D6111">
        <w:rPr>
          <w:rFonts w:ascii="Arial" w:eastAsia="Times New Roman" w:hAnsi="Arial" w:cs="Arial"/>
          <w:color w:val="1F1F1F"/>
          <w:lang w:eastAsia="en-IN"/>
        </w:rPr>
        <w:t xml:space="preserve"> Building a sustainable model requires funding growth with actual revenue rather than continually selling future equity.</w:t>
      </w:r>
    </w:p>
    <w:p w:rsidR="005D6111" w:rsidRPr="005D6111" w:rsidRDefault="005D6111" w:rsidP="005D6111">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822"/>
        <w:gridCol w:w="2254"/>
        <w:gridCol w:w="2285"/>
        <w:gridCol w:w="2649"/>
      </w:tblGrid>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Venture Capital (VC)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Revenue-Based Financing (RBF)</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Strategic Implication for Founders</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Ownership Dilution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15% to 25% dilution per funding round.</w:t>
            </w:r>
            <w:r w:rsidRPr="005D6111">
              <w:rPr>
                <w:rFonts w:ascii="Arial" w:eastAsia="Times New Roman" w:hAnsi="Arial" w:cs="Arial"/>
                <w:color w:val="444746"/>
                <w:sz w:val="14"/>
                <w:szCs w:val="14"/>
                <w:vertAlign w:val="superscript"/>
                <w:lang w:eastAsia="en-IN"/>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0% dilution (founder retains 100% ownership).</w:t>
            </w:r>
            <w:r w:rsidRPr="005D6111">
              <w:rPr>
                <w:rFonts w:ascii="Arial" w:eastAsia="Times New Roman" w:hAnsi="Arial" w:cs="Arial"/>
                <w:color w:val="444746"/>
                <w:sz w:val="14"/>
                <w:szCs w:val="14"/>
                <w:vertAlign w:val="superscript"/>
                <w:lang w:eastAsia="en-IN"/>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RBF protects founder equity, crucial for long-term wealth generation.</w:t>
            </w:r>
            <w:r w:rsidRPr="005D6111">
              <w:rPr>
                <w:rFonts w:ascii="Arial" w:eastAsia="Times New Roman" w:hAnsi="Arial" w:cs="Arial"/>
                <w:color w:val="444746"/>
                <w:sz w:val="14"/>
                <w:szCs w:val="14"/>
                <w:vertAlign w:val="superscript"/>
                <w:lang w:eastAsia="en-IN"/>
              </w:rPr>
              <w:t>6</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Repayment Structure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Exit-dependent (requires an IPO or major acquisition).</w:t>
            </w:r>
            <w:r w:rsidRPr="005D6111">
              <w:rPr>
                <w:rFonts w:ascii="Arial" w:eastAsia="Times New Roman" w:hAnsi="Arial" w:cs="Arial"/>
                <w:color w:val="444746"/>
                <w:sz w:val="14"/>
                <w:szCs w:val="14"/>
                <w:vertAlign w:val="superscript"/>
                <w:lang w:eastAsia="en-IN"/>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Repaid progressively as a fixed percentage of monthly revenue.</w:t>
            </w:r>
            <w:r w:rsidRPr="005D6111">
              <w:rPr>
                <w:rFonts w:ascii="Arial" w:eastAsia="Times New Roman" w:hAnsi="Arial" w:cs="Arial"/>
                <w:color w:val="444746"/>
                <w:sz w:val="14"/>
                <w:szCs w:val="14"/>
                <w:vertAlign w:val="superscript"/>
                <w:lang w:eastAsia="en-IN"/>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RBF aligns debt servicing directly with cash flow realities, reducing pressure for premature exits.</w:t>
            </w:r>
            <w:r w:rsidRPr="005D6111">
              <w:rPr>
                <w:rFonts w:ascii="Arial" w:eastAsia="Times New Roman" w:hAnsi="Arial" w:cs="Arial"/>
                <w:color w:val="444746"/>
                <w:sz w:val="14"/>
                <w:szCs w:val="14"/>
                <w:vertAlign w:val="superscript"/>
                <w:lang w:eastAsia="en-IN"/>
              </w:rPr>
              <w:t>6</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Governance &amp; Control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 xml:space="preserve">Requires board seats, veto rights, and loss of </w:t>
            </w:r>
            <w:r w:rsidRPr="005D6111">
              <w:rPr>
                <w:rFonts w:ascii="Arial" w:eastAsia="Times New Roman" w:hAnsi="Arial" w:cs="Arial"/>
                <w:color w:val="1F1F1F"/>
                <w:lang w:eastAsia="en-IN"/>
              </w:rPr>
              <w:lastRenderedPageBreak/>
              <w:t>autonomous control.</w:t>
            </w:r>
            <w:r w:rsidRPr="005D6111">
              <w:rPr>
                <w:rFonts w:ascii="Arial" w:eastAsia="Times New Roman" w:hAnsi="Arial" w:cs="Arial"/>
                <w:color w:val="444746"/>
                <w:sz w:val="14"/>
                <w:szCs w:val="14"/>
                <w:vertAlign w:val="superscript"/>
                <w:lang w:eastAsia="en-IN"/>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lastRenderedPageBreak/>
              <w:t>No governance requirements or board interference.</w:t>
            </w:r>
            <w:r w:rsidRPr="005D6111">
              <w:rPr>
                <w:rFonts w:ascii="Arial" w:eastAsia="Times New Roman" w:hAnsi="Arial" w:cs="Arial"/>
                <w:color w:val="444746"/>
                <w:sz w:val="14"/>
                <w:szCs w:val="14"/>
                <w:vertAlign w:val="superscript"/>
                <w:lang w:eastAsia="en-IN"/>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Founders maintain absolute strategic agility under RBF.</w:t>
            </w:r>
            <w:r w:rsidRPr="005D6111">
              <w:rPr>
                <w:rFonts w:ascii="Arial" w:eastAsia="Times New Roman" w:hAnsi="Arial" w:cs="Arial"/>
                <w:color w:val="444746"/>
                <w:sz w:val="14"/>
                <w:szCs w:val="14"/>
                <w:vertAlign w:val="superscript"/>
                <w:lang w:eastAsia="en-IN"/>
              </w:rPr>
              <w:t>6</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lastRenderedPageBreak/>
              <w:t>Capital Deployment Speed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3 to 9 months of intense due diligence.</w:t>
            </w:r>
            <w:r w:rsidRPr="005D6111">
              <w:rPr>
                <w:rFonts w:ascii="Arial" w:eastAsia="Times New Roman" w:hAnsi="Arial" w:cs="Arial"/>
                <w:color w:val="444746"/>
                <w:sz w:val="14"/>
                <w:szCs w:val="14"/>
                <w:vertAlign w:val="superscript"/>
                <w:lang w:eastAsia="en-IN"/>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48 hours to 2 weeks.</w:t>
            </w:r>
            <w:r w:rsidRPr="005D6111">
              <w:rPr>
                <w:rFonts w:ascii="Arial" w:eastAsia="Times New Roman" w:hAnsi="Arial" w:cs="Arial"/>
                <w:color w:val="444746"/>
                <w:sz w:val="14"/>
                <w:szCs w:val="14"/>
                <w:vertAlign w:val="superscript"/>
                <w:lang w:eastAsia="en-IN"/>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RBF allows rapid response to market opportunities without distracting leadership.</w:t>
            </w:r>
            <w:r w:rsidRPr="005D6111">
              <w:rPr>
                <w:rFonts w:ascii="Arial" w:eastAsia="Times New Roman" w:hAnsi="Arial" w:cs="Arial"/>
                <w:color w:val="444746"/>
                <w:sz w:val="14"/>
                <w:szCs w:val="14"/>
                <w:vertAlign w:val="superscript"/>
                <w:lang w:eastAsia="en-IN"/>
              </w:rPr>
              <w:t>6</w:t>
            </w:r>
          </w:p>
        </w:tc>
      </w:tr>
    </w:tbl>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By utilizing RBF to fund predictable expenses like performance marketing or inventory procurement, founders avoid selling 20% of their company merely to finance an advertising budget.</w:t>
      </w:r>
      <w:r w:rsidRPr="005D6111">
        <w:rPr>
          <w:rFonts w:ascii="Arial" w:eastAsia="Times New Roman" w:hAnsi="Arial" w:cs="Arial"/>
          <w:color w:val="444746"/>
          <w:sz w:val="14"/>
          <w:szCs w:val="14"/>
          <w:vertAlign w:val="superscript"/>
          <w:lang w:eastAsia="en-IN"/>
        </w:rPr>
        <w:t>6</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Simultaneously, the regulatory environment surrounding venture capital is tightening. The U.S. Securities and Exchange Commission (SEC) is aggressively cracking down on "AI-washing"—the practice of overstating AI capabilities or blurring the line between existing technology and aspirational roadmaps in public disclosures and fundraising materials.</w:t>
      </w:r>
      <w:r w:rsidRPr="005D6111">
        <w:rPr>
          <w:rFonts w:ascii="Arial" w:eastAsia="Times New Roman" w:hAnsi="Arial" w:cs="Arial"/>
          <w:color w:val="444746"/>
          <w:sz w:val="14"/>
          <w:szCs w:val="14"/>
          <w:vertAlign w:val="superscript"/>
          <w:lang w:eastAsia="en-IN"/>
        </w:rPr>
        <w:t>12</w:t>
      </w:r>
      <w:r w:rsidRPr="005D6111">
        <w:rPr>
          <w:rFonts w:ascii="Arial" w:eastAsia="Times New Roman" w:hAnsi="Arial" w:cs="Arial"/>
          <w:color w:val="1F1F1F"/>
          <w:lang w:eastAsia="en-IN"/>
        </w:rPr>
        <w:t xml:space="preserve"> Founders who inflate their technological capabilities face significant regulatory risk and potential civil liabilities.</w:t>
      </w:r>
      <w:r w:rsidRPr="005D6111">
        <w:rPr>
          <w:rFonts w:ascii="Arial" w:eastAsia="Times New Roman" w:hAnsi="Arial" w:cs="Arial"/>
          <w:color w:val="444746"/>
          <w:sz w:val="14"/>
          <w:szCs w:val="14"/>
          <w:vertAlign w:val="superscript"/>
          <w:lang w:eastAsia="en-IN"/>
        </w:rPr>
        <w:t>12</w:t>
      </w:r>
      <w:r w:rsidRPr="005D6111">
        <w:rPr>
          <w:rFonts w:ascii="Arial" w:eastAsia="Times New Roman" w:hAnsi="Arial" w:cs="Arial"/>
          <w:color w:val="1F1F1F"/>
          <w:lang w:eastAsia="en-IN"/>
        </w:rPr>
        <w:t xml:space="preserve"> Additionally, state-level regulations, such as California's new regulatory framework introducing stringent demographic diversity reporting requirements for venture capital firms operating in the state, are reshaping how funds allocate capital and report on portfolio demographics.</w:t>
      </w:r>
      <w:r w:rsidRPr="005D6111">
        <w:rPr>
          <w:rFonts w:ascii="Arial" w:eastAsia="Times New Roman" w:hAnsi="Arial" w:cs="Arial"/>
          <w:color w:val="444746"/>
          <w:sz w:val="14"/>
          <w:szCs w:val="14"/>
          <w:vertAlign w:val="superscript"/>
          <w:lang w:eastAsia="en-IN"/>
        </w:rPr>
        <w:t>14</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In response to the stagnation of traditional exit markets, secondary transactions have surged, ballooning to a projected $210 billion in 2025.</w:t>
      </w:r>
      <w:r w:rsidRPr="005D6111">
        <w:rPr>
          <w:rFonts w:ascii="Arial" w:eastAsia="Times New Roman" w:hAnsi="Arial" w:cs="Arial"/>
          <w:color w:val="444746"/>
          <w:sz w:val="14"/>
          <w:szCs w:val="14"/>
          <w:vertAlign w:val="superscript"/>
          <w:lang w:eastAsia="en-IN"/>
        </w:rPr>
        <w:t>15</w:t>
      </w:r>
      <w:r w:rsidRPr="005D6111">
        <w:rPr>
          <w:rFonts w:ascii="Arial" w:eastAsia="Times New Roman" w:hAnsi="Arial" w:cs="Arial"/>
          <w:color w:val="1F1F1F"/>
          <w:lang w:eastAsia="en-IN"/>
        </w:rPr>
        <w:t xml:space="preserve"> Large secondaries funds, Limited Partners (LPs), and General Partners (GPs) are increasingly utilizing these markets to secure liquidity.</w:t>
      </w:r>
      <w:r w:rsidRPr="005D6111">
        <w:rPr>
          <w:rFonts w:ascii="Arial" w:eastAsia="Times New Roman" w:hAnsi="Arial" w:cs="Arial"/>
          <w:color w:val="444746"/>
          <w:sz w:val="14"/>
          <w:szCs w:val="14"/>
          <w:vertAlign w:val="superscript"/>
          <w:lang w:eastAsia="en-IN"/>
        </w:rPr>
        <w:t>15</w:t>
      </w:r>
      <w:r w:rsidRPr="005D6111">
        <w:rPr>
          <w:rFonts w:ascii="Arial" w:eastAsia="Times New Roman" w:hAnsi="Arial" w:cs="Arial"/>
          <w:color w:val="1F1F1F"/>
          <w:lang w:eastAsia="en-IN"/>
        </w:rPr>
        <w:t xml:space="preserve"> For founders, managing secondary liquidity expectations is critical to ensure that early employees and angel investors can realize value without disrupting the primary capitalization strategy or signaling internal distress to the broader market.</w:t>
      </w:r>
      <w:r w:rsidRPr="005D6111">
        <w:rPr>
          <w:rFonts w:ascii="Arial" w:eastAsia="Times New Roman" w:hAnsi="Arial" w:cs="Arial"/>
          <w:color w:val="444746"/>
          <w:sz w:val="14"/>
          <w:szCs w:val="14"/>
          <w:vertAlign w:val="superscript"/>
          <w:lang w:eastAsia="en-IN"/>
        </w:rPr>
        <w:t>15</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Finally, the profile of successful fund managers is evolving. There is a structural rise in "emerging managers"—operators, engineers, domain experts from healthcare or defense, and even community leaders—who possess deep industry networks and the ability to evaluate technical architectures in ways traditional MBA-trained venture capitalists often cannot.</w:t>
      </w:r>
      <w:r w:rsidRPr="005D6111">
        <w:rPr>
          <w:rFonts w:ascii="Arial" w:eastAsia="Times New Roman" w:hAnsi="Arial" w:cs="Arial"/>
          <w:color w:val="444746"/>
          <w:sz w:val="14"/>
          <w:szCs w:val="14"/>
          <w:vertAlign w:val="superscript"/>
          <w:lang w:eastAsia="en-IN"/>
        </w:rPr>
        <w:t>16</w:t>
      </w:r>
      <w:r w:rsidRPr="005D6111">
        <w:rPr>
          <w:rFonts w:ascii="Arial" w:eastAsia="Times New Roman" w:hAnsi="Arial" w:cs="Arial"/>
          <w:color w:val="1F1F1F"/>
          <w:lang w:eastAsia="en-IN"/>
        </w:rPr>
        <w:t xml:space="preserve"> This democratization of fund formation provides founders with access to more specialized, value-additive capital sources.</w:t>
      </w:r>
      <w:r w:rsidRPr="005D6111">
        <w:rPr>
          <w:rFonts w:ascii="Arial" w:eastAsia="Times New Roman" w:hAnsi="Arial" w:cs="Arial"/>
          <w:color w:val="444746"/>
          <w:sz w:val="14"/>
          <w:szCs w:val="14"/>
          <w:vertAlign w:val="superscript"/>
          <w:lang w:eastAsia="en-IN"/>
        </w:rPr>
        <w:t>16</w:t>
      </w:r>
    </w:p>
    <w:p w:rsidR="005D6111" w:rsidRPr="005D6111" w:rsidRDefault="005D6111" w:rsidP="005D6111">
      <w:pPr>
        <w:spacing w:after="120" w:line="240" w:lineRule="auto"/>
        <w:outlineLvl w:val="1"/>
        <w:rPr>
          <w:rFonts w:ascii="Times New Roman" w:eastAsia="Times New Roman" w:hAnsi="Times New Roman" w:cs="Times New Roman"/>
          <w:b/>
          <w:bCs/>
          <w:sz w:val="36"/>
          <w:szCs w:val="36"/>
          <w:lang w:eastAsia="en-IN"/>
        </w:rPr>
      </w:pPr>
      <w:r w:rsidRPr="005D6111">
        <w:rPr>
          <w:rFonts w:ascii="Arial" w:eastAsia="Times New Roman" w:hAnsi="Arial" w:cs="Arial"/>
          <w:b/>
          <w:bCs/>
          <w:color w:val="1F1F1F"/>
          <w:sz w:val="36"/>
          <w:szCs w:val="36"/>
          <w:lang w:eastAsia="en-IN"/>
        </w:rPr>
        <w:t>The Psychological and Structural Architecture of Co-Founder Dynamics</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While external market forces dictate the macroeconomic environment, the most acute and statistically lethal risk to early-stage ventures originates internally. Research and venture portfolio analyses consistently indicate that 65% of startup failures are directly attributable to interpersonal conflict within the founding team and associated organizational challenges.</w:t>
      </w:r>
      <w:r w:rsidRPr="005D6111">
        <w:rPr>
          <w:rFonts w:ascii="Arial" w:eastAsia="Times New Roman" w:hAnsi="Arial" w:cs="Arial"/>
          <w:color w:val="444746"/>
          <w:sz w:val="14"/>
          <w:szCs w:val="14"/>
          <w:vertAlign w:val="superscript"/>
          <w:lang w:eastAsia="en-IN"/>
        </w:rPr>
        <w:t>5</w:t>
      </w:r>
      <w:r w:rsidRPr="005D6111">
        <w:rPr>
          <w:rFonts w:ascii="Arial" w:eastAsia="Times New Roman" w:hAnsi="Arial" w:cs="Arial"/>
          <w:color w:val="1F1F1F"/>
          <w:lang w:eastAsia="en-IN"/>
        </w:rPr>
        <w:t xml:space="preserve"> Investors increasingly link portfolio mortality not to technological inferiority or market shifts, but to the psychological fragility and structural misalignment of the individuals steering the enterprise.</w:t>
      </w:r>
      <w:r w:rsidRPr="005D6111">
        <w:rPr>
          <w:rFonts w:ascii="Arial" w:eastAsia="Times New Roman" w:hAnsi="Arial" w:cs="Arial"/>
          <w:color w:val="444746"/>
          <w:sz w:val="14"/>
          <w:szCs w:val="14"/>
          <w:vertAlign w:val="superscript"/>
          <w:lang w:eastAsia="en-IN"/>
        </w:rPr>
        <w:t>5</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Interpersonal conflict within startups rarely manifests as immediate, overt hostility or shouting matches in boardrooms. Instead, it gestates quietly through silence, misread signals, and superficial communication.</w:t>
      </w:r>
      <w:r w:rsidRPr="005D6111">
        <w:rPr>
          <w:rFonts w:ascii="Arial" w:eastAsia="Times New Roman" w:hAnsi="Arial" w:cs="Arial"/>
          <w:color w:val="444746"/>
          <w:sz w:val="14"/>
          <w:szCs w:val="14"/>
          <w:vertAlign w:val="superscript"/>
          <w:lang w:eastAsia="en-IN"/>
        </w:rPr>
        <w:t>19</w:t>
      </w:r>
      <w:r w:rsidRPr="005D6111">
        <w:rPr>
          <w:rFonts w:ascii="Arial" w:eastAsia="Times New Roman" w:hAnsi="Arial" w:cs="Arial"/>
          <w:color w:val="1F1F1F"/>
          <w:lang w:eastAsia="en-IN"/>
        </w:rPr>
        <w:t xml:space="preserve"> The root causes of co-founder disputes generally transcend surface-level disagreements over product direction, equity, or marketing strategy; they are deeply anchored in individual psychological factors and behavioral patterns.</w:t>
      </w:r>
      <w:r w:rsidRPr="005D6111">
        <w:rPr>
          <w:rFonts w:ascii="Arial" w:eastAsia="Times New Roman" w:hAnsi="Arial" w:cs="Arial"/>
          <w:color w:val="444746"/>
          <w:sz w:val="14"/>
          <w:szCs w:val="14"/>
          <w:vertAlign w:val="superscript"/>
          <w:lang w:eastAsia="en-IN"/>
        </w:rPr>
        <w:t>17</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lastRenderedPageBreak/>
        <w:t>Poor stress management and chronic burnout severely impair emotional regulation. In a high-pressure startup environment, this physiological exhaustion distorts perception, causing founders to interpret neutral silence as neglect, or sincere questioning as hostile criticism.</w:t>
      </w:r>
      <w:r w:rsidRPr="005D6111">
        <w:rPr>
          <w:rFonts w:ascii="Arial" w:eastAsia="Times New Roman" w:hAnsi="Arial" w:cs="Arial"/>
          <w:color w:val="444746"/>
          <w:sz w:val="14"/>
          <w:szCs w:val="14"/>
          <w:vertAlign w:val="superscript"/>
          <w:lang w:eastAsia="en-IN"/>
        </w:rPr>
        <w:t>19</w:t>
      </w:r>
      <w:r w:rsidRPr="005D6111">
        <w:rPr>
          <w:rFonts w:ascii="Arial" w:eastAsia="Times New Roman" w:hAnsi="Arial" w:cs="Arial"/>
          <w:color w:val="1F1F1F"/>
          <w:lang w:eastAsia="en-IN"/>
        </w:rPr>
        <w:t xml:space="preserve"> This breakdown in interpretation transforms routine operational conversations into perceived personal attacks.</w:t>
      </w:r>
      <w:r w:rsidRPr="005D6111">
        <w:rPr>
          <w:rFonts w:ascii="Arial" w:eastAsia="Times New Roman" w:hAnsi="Arial" w:cs="Arial"/>
          <w:color w:val="444746"/>
          <w:sz w:val="14"/>
          <w:szCs w:val="14"/>
          <w:vertAlign w:val="superscript"/>
          <w:lang w:eastAsia="en-IN"/>
        </w:rPr>
        <w:t>19</w:t>
      </w:r>
      <w:r w:rsidRPr="005D6111">
        <w:rPr>
          <w:rFonts w:ascii="Arial" w:eastAsia="Times New Roman" w:hAnsi="Arial" w:cs="Arial"/>
          <w:color w:val="1F1F1F"/>
          <w:lang w:eastAsia="en-IN"/>
        </w:rPr>
        <w:t xml:space="preserve"> Furthermore, imposter syndrome frequently afflicts highly competent founders, leading to defensive posturing, an inability to delegate, and an erosion of mutual trust as they overcompensate to prove their worth.</w:t>
      </w:r>
      <w:r w:rsidRPr="005D6111">
        <w:rPr>
          <w:rFonts w:ascii="Arial" w:eastAsia="Times New Roman" w:hAnsi="Arial" w:cs="Arial"/>
          <w:color w:val="444746"/>
          <w:sz w:val="14"/>
          <w:szCs w:val="14"/>
          <w:vertAlign w:val="superscript"/>
          <w:lang w:eastAsia="en-IN"/>
        </w:rPr>
        <w:t>19</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When these psychological vulnerabilities intersect with structural ambiguity, the resulting friction often induces "cognitive inertia"—the psychological inability of founders to revise past assumptions about their partners based on new information.</w:t>
      </w:r>
      <w:r w:rsidRPr="005D6111">
        <w:rPr>
          <w:rFonts w:ascii="Arial" w:eastAsia="Times New Roman" w:hAnsi="Arial" w:cs="Arial"/>
          <w:color w:val="444746"/>
          <w:sz w:val="14"/>
          <w:szCs w:val="14"/>
          <w:vertAlign w:val="superscript"/>
          <w:lang w:eastAsia="en-IN"/>
        </w:rPr>
        <w:t>17</w:t>
      </w:r>
      <w:r w:rsidRPr="005D6111">
        <w:rPr>
          <w:rFonts w:ascii="Arial" w:eastAsia="Times New Roman" w:hAnsi="Arial" w:cs="Arial"/>
          <w:color w:val="1F1F1F"/>
          <w:lang w:eastAsia="en-IN"/>
        </w:rPr>
        <w:t xml:space="preserve"> This dynamic locks co-founders into adversarial negotiations where the primary objective shifts from optimizing the business to persuading the other party of a rigid viewpoint, destroying collaborative problem-solving.</w:t>
      </w:r>
      <w:r w:rsidRPr="005D6111">
        <w:rPr>
          <w:rFonts w:ascii="Arial" w:eastAsia="Times New Roman" w:hAnsi="Arial" w:cs="Arial"/>
          <w:color w:val="444746"/>
          <w:sz w:val="14"/>
          <w:szCs w:val="14"/>
          <w:vertAlign w:val="superscript"/>
          <w:lang w:eastAsia="en-IN"/>
        </w:rPr>
        <w:t>17</w:t>
      </w:r>
      <w:r w:rsidRPr="005D6111">
        <w:rPr>
          <w:rFonts w:ascii="Arial" w:eastAsia="Times New Roman" w:hAnsi="Arial" w:cs="Arial"/>
          <w:color w:val="1F1F1F"/>
          <w:lang w:eastAsia="en-IN"/>
        </w:rPr>
        <w:t xml:space="preserve"> The most common manifestations of these disputes include profound confusion over overlapping roles and responsibilities, imbalances in perceived workload, power struggles regarding decision-making authority, and fundamental disagreements over the long-term strategic vision of the company.</w:t>
      </w:r>
      <w:r w:rsidRPr="005D6111">
        <w:rPr>
          <w:rFonts w:ascii="Arial" w:eastAsia="Times New Roman" w:hAnsi="Arial" w:cs="Arial"/>
          <w:color w:val="444746"/>
          <w:sz w:val="14"/>
          <w:szCs w:val="14"/>
          <w:vertAlign w:val="superscript"/>
          <w:lang w:eastAsia="en-IN"/>
        </w:rPr>
        <w:t>17</w:t>
      </w:r>
      <w:r w:rsidRPr="005D6111">
        <w:rPr>
          <w:rFonts w:ascii="Arial" w:eastAsia="Times New Roman" w:hAnsi="Arial" w:cs="Arial"/>
          <w:color w:val="1F1F1F"/>
          <w:lang w:eastAsia="en-IN"/>
        </w:rPr>
        <w:t xml:space="preserve"> These issues often simmer for months, straining even the most successful and well-funded teams.</w:t>
      </w:r>
      <w:r w:rsidRPr="005D6111">
        <w:rPr>
          <w:rFonts w:ascii="Arial" w:eastAsia="Times New Roman" w:hAnsi="Arial" w:cs="Arial"/>
          <w:color w:val="444746"/>
          <w:sz w:val="14"/>
          <w:szCs w:val="14"/>
          <w:vertAlign w:val="superscript"/>
          <w:lang w:eastAsia="en-IN"/>
        </w:rPr>
        <w:t>17</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absence of robust, legally binding governance structures dramatically amplifies these interpersonal risks. A verbal "handshake agreement" between founders regarding equity distribution is a profound vulnerability that frequently leads to corporate paralysis.</w:t>
      </w:r>
      <w:r w:rsidRPr="005D6111">
        <w:rPr>
          <w:rFonts w:ascii="Arial" w:eastAsia="Times New Roman" w:hAnsi="Arial" w:cs="Arial"/>
          <w:color w:val="444746"/>
          <w:sz w:val="14"/>
          <w:szCs w:val="14"/>
          <w:vertAlign w:val="superscript"/>
          <w:lang w:eastAsia="en-IN"/>
        </w:rPr>
        <w:t>20</w:t>
      </w:r>
      <w:r w:rsidRPr="005D6111">
        <w:rPr>
          <w:rFonts w:ascii="Arial" w:eastAsia="Times New Roman" w:hAnsi="Arial" w:cs="Arial"/>
          <w:color w:val="1F1F1F"/>
          <w:lang w:eastAsia="en-IN"/>
        </w:rPr>
        <w:t xml:space="preserve"> The concept of "dead equity"—where an early departing co-founder retains a massive, unvested percentage of the company—is fundamentally toxic to an enterprise's capitalization table.</w:t>
      </w:r>
      <w:r w:rsidRPr="005D6111">
        <w:rPr>
          <w:rFonts w:ascii="Arial" w:eastAsia="Times New Roman" w:hAnsi="Arial" w:cs="Arial"/>
          <w:color w:val="444746"/>
          <w:sz w:val="14"/>
          <w:szCs w:val="14"/>
          <w:vertAlign w:val="superscript"/>
          <w:lang w:eastAsia="en-IN"/>
        </w:rPr>
        <w:t>20</w:t>
      </w:r>
      <w:r w:rsidRPr="005D6111">
        <w:rPr>
          <w:rFonts w:ascii="Arial" w:eastAsia="Times New Roman" w:hAnsi="Arial" w:cs="Arial"/>
          <w:color w:val="1F1F1F"/>
          <w:lang w:eastAsia="en-IN"/>
        </w:rPr>
        <w:t xml:space="preserve"> Retaining a co-founder who leaves after three months but holds 40% to 50% of the equity actively deters future venture capital investment, prevents the recruitment of high-caliber replacement talent, and generally forces the company into expensive litigation or premature dissolution.</w:t>
      </w:r>
      <w:r w:rsidRPr="005D6111">
        <w:rPr>
          <w:rFonts w:ascii="Arial" w:eastAsia="Times New Roman" w:hAnsi="Arial" w:cs="Arial"/>
          <w:color w:val="444746"/>
          <w:sz w:val="14"/>
          <w:szCs w:val="14"/>
          <w:vertAlign w:val="superscript"/>
          <w:lang w:eastAsia="en-IN"/>
        </w:rPr>
        <w:t>20</w:t>
      </w:r>
      <w:r w:rsidRPr="005D6111">
        <w:rPr>
          <w:rFonts w:ascii="Arial" w:eastAsia="Times New Roman" w:hAnsi="Arial" w:cs="Arial"/>
          <w:color w:val="1F1F1F"/>
          <w:lang w:eastAsia="en-IN"/>
        </w:rPr>
        <w:t xml:space="preserve"> When memories diverge regarding equity splits, and no written agreement exists, the company is entirely exposed to ruinous legal battles.</w:t>
      </w:r>
      <w:r w:rsidRPr="005D6111">
        <w:rPr>
          <w:rFonts w:ascii="Arial" w:eastAsia="Times New Roman" w:hAnsi="Arial" w:cs="Arial"/>
          <w:color w:val="444746"/>
          <w:sz w:val="14"/>
          <w:szCs w:val="14"/>
          <w:vertAlign w:val="superscript"/>
          <w:lang w:eastAsia="en-IN"/>
        </w:rPr>
        <w:t>20</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To structurally mitigate these existential human capital risks, the execution of a comprehensive Founders' Agreement is an absolute, non-negotiable necessity.</w:t>
      </w:r>
      <w:r w:rsidRPr="005D6111">
        <w:rPr>
          <w:rFonts w:ascii="Arial" w:eastAsia="Times New Roman" w:hAnsi="Arial" w:cs="Arial"/>
          <w:color w:val="444746"/>
          <w:sz w:val="14"/>
          <w:szCs w:val="14"/>
          <w:vertAlign w:val="superscript"/>
          <w:lang w:eastAsia="en-IN"/>
        </w:rPr>
        <w:t>20</w:t>
      </w:r>
      <w:r w:rsidRPr="005D6111">
        <w:rPr>
          <w:rFonts w:ascii="Arial" w:eastAsia="Times New Roman" w:hAnsi="Arial" w:cs="Arial"/>
          <w:color w:val="1F1F1F"/>
          <w:lang w:eastAsia="en-IN"/>
        </w:rPr>
        <w:t xml:space="preserve"> In 2026, best practices dictate that equity splits must be rationally documented to withstand intense investor scrutiny.</w:t>
      </w:r>
      <w:r w:rsidRPr="005D6111">
        <w:rPr>
          <w:rFonts w:ascii="Arial" w:eastAsia="Times New Roman" w:hAnsi="Arial" w:cs="Arial"/>
          <w:color w:val="444746"/>
          <w:sz w:val="14"/>
          <w:szCs w:val="14"/>
          <w:vertAlign w:val="superscript"/>
          <w:lang w:eastAsia="en-IN"/>
        </w:rPr>
        <w:t>22</w:t>
      </w:r>
      <w:r w:rsidRPr="005D6111">
        <w:rPr>
          <w:rFonts w:ascii="Arial" w:eastAsia="Times New Roman" w:hAnsi="Arial" w:cs="Arial"/>
          <w:color w:val="1F1F1F"/>
          <w:lang w:eastAsia="en-IN"/>
        </w:rPr>
        <w:t xml:space="preserve"> All founder equity must be subjected to strict vesting schedules—typically operating over four years with a one-year cliff—ensuring that equity is earned through continuous operational contribution rather than granted outright upon incorporation.</w:t>
      </w:r>
      <w:r w:rsidRPr="005D6111">
        <w:rPr>
          <w:rFonts w:ascii="Arial" w:eastAsia="Times New Roman" w:hAnsi="Arial" w:cs="Arial"/>
          <w:color w:val="444746"/>
          <w:sz w:val="14"/>
          <w:szCs w:val="14"/>
          <w:vertAlign w:val="superscript"/>
          <w:lang w:eastAsia="en-IN"/>
        </w:rPr>
        <w:t>22</w:t>
      </w:r>
      <w:r w:rsidRPr="005D6111">
        <w:rPr>
          <w:rFonts w:ascii="Arial" w:eastAsia="Times New Roman" w:hAnsi="Arial" w:cs="Arial"/>
          <w:color w:val="1F1F1F"/>
          <w:lang w:eastAsia="en-IN"/>
        </w:rPr>
        <w:t xml:space="preserve"> Furthermore, founders must proactively allocate 10% to 15% of equity to an Employee Share Option Plan (ESOP) to incentivize early hires without triggering future disputes between founders over individual dilution.</w:t>
      </w:r>
      <w:r w:rsidRPr="005D6111">
        <w:rPr>
          <w:rFonts w:ascii="Arial" w:eastAsia="Times New Roman" w:hAnsi="Arial" w:cs="Arial"/>
          <w:color w:val="444746"/>
          <w:sz w:val="14"/>
          <w:szCs w:val="14"/>
          <w:vertAlign w:val="superscript"/>
          <w:lang w:eastAsia="en-IN"/>
        </w:rPr>
        <w:t>22</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A meticulously drafted agreement must also contain unambiguous intellectual property (IP) assignment clauses.</w:t>
      </w:r>
      <w:r w:rsidRPr="005D6111">
        <w:rPr>
          <w:rFonts w:ascii="Arial" w:eastAsia="Times New Roman" w:hAnsi="Arial" w:cs="Arial"/>
          <w:color w:val="444746"/>
          <w:sz w:val="14"/>
          <w:szCs w:val="14"/>
          <w:vertAlign w:val="superscript"/>
          <w:lang w:eastAsia="en-IN"/>
        </w:rPr>
        <w:t>20</w:t>
      </w:r>
      <w:r w:rsidRPr="005D6111">
        <w:rPr>
          <w:rFonts w:ascii="Arial" w:eastAsia="Times New Roman" w:hAnsi="Arial" w:cs="Arial"/>
          <w:color w:val="1F1F1F"/>
          <w:lang w:eastAsia="en-IN"/>
        </w:rPr>
        <w:t xml:space="preserve"> Without provisions assigning all pre-incorporation code, patents, and business methodologies to the corporate entity, a departing founder can claim individual ownership over core IP, effectively holding the startup's technology hostage and nullifying the enterprise's entire valuation.</w:t>
      </w:r>
      <w:r w:rsidRPr="005D6111">
        <w:rPr>
          <w:rFonts w:ascii="Arial" w:eastAsia="Times New Roman" w:hAnsi="Arial" w:cs="Arial"/>
          <w:color w:val="444746"/>
          <w:sz w:val="14"/>
          <w:szCs w:val="14"/>
          <w:vertAlign w:val="superscript"/>
          <w:lang w:eastAsia="en-IN"/>
        </w:rPr>
        <w:t>20</w:t>
      </w:r>
      <w:r w:rsidRPr="005D6111">
        <w:rPr>
          <w:rFonts w:ascii="Arial" w:eastAsia="Times New Roman" w:hAnsi="Arial" w:cs="Arial"/>
          <w:color w:val="1F1F1F"/>
          <w:lang w:eastAsia="en-IN"/>
        </w:rPr>
        <w:t xml:space="preserve"> Confidentiality and data protection clauses are also paramount, mandating compliance with frameworks like the GDPR and stipulating the immediate return of all company data upon a founder's departure.</w:t>
      </w:r>
      <w:r w:rsidRPr="005D6111">
        <w:rPr>
          <w:rFonts w:ascii="Arial" w:eastAsia="Times New Roman" w:hAnsi="Arial" w:cs="Arial"/>
          <w:color w:val="444746"/>
          <w:sz w:val="14"/>
          <w:szCs w:val="14"/>
          <w:vertAlign w:val="superscript"/>
          <w:lang w:eastAsia="en-IN"/>
        </w:rPr>
        <w:t>22</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When conflicts inevitably escalate beyond internal resolution, engaging an impartial third-party mediator has proven to be a highly effective, low-cost intervention.</w:t>
      </w:r>
      <w:r w:rsidRPr="005D6111">
        <w:rPr>
          <w:rFonts w:ascii="Arial" w:eastAsia="Times New Roman" w:hAnsi="Arial" w:cs="Arial"/>
          <w:color w:val="444746"/>
          <w:sz w:val="14"/>
          <w:szCs w:val="14"/>
          <w:vertAlign w:val="superscript"/>
          <w:lang w:eastAsia="en-IN"/>
        </w:rPr>
        <w:t>17</w:t>
      </w:r>
      <w:r w:rsidRPr="005D6111">
        <w:rPr>
          <w:rFonts w:ascii="Arial" w:eastAsia="Times New Roman" w:hAnsi="Arial" w:cs="Arial"/>
          <w:color w:val="1F1F1F"/>
          <w:lang w:eastAsia="en-IN"/>
        </w:rPr>
        <w:t xml:space="preserve"> Mediation provides a structured environment that separates the founders' personal biases from the operational problems threatening the company, circumventing cognitive inertia.</w:t>
      </w:r>
      <w:r w:rsidRPr="005D6111">
        <w:rPr>
          <w:rFonts w:ascii="Arial" w:eastAsia="Times New Roman" w:hAnsi="Arial" w:cs="Arial"/>
          <w:color w:val="444746"/>
          <w:sz w:val="14"/>
          <w:szCs w:val="14"/>
          <w:vertAlign w:val="superscript"/>
          <w:lang w:eastAsia="en-IN"/>
        </w:rPr>
        <w:t>17</w:t>
      </w:r>
      <w:r w:rsidRPr="005D6111">
        <w:rPr>
          <w:rFonts w:ascii="Arial" w:eastAsia="Times New Roman" w:hAnsi="Arial" w:cs="Arial"/>
          <w:color w:val="1F1F1F"/>
          <w:lang w:eastAsia="en-IN"/>
        </w:rPr>
        <w:t xml:space="preserve"> However, if separation becomes unavoidable, companies must execute immediate infrastructural security protocols. This necessitates advising the company to retain all information related to the separation to avoid claims of litigation spoliation, and immediately revoking access to shared online </w:t>
      </w:r>
      <w:r w:rsidRPr="005D6111">
        <w:rPr>
          <w:rFonts w:ascii="Arial" w:eastAsia="Times New Roman" w:hAnsi="Arial" w:cs="Arial"/>
          <w:color w:val="1F1F1F"/>
          <w:lang w:eastAsia="en-IN"/>
        </w:rPr>
        <w:lastRenderedPageBreak/>
        <w:t>infrastructure and corporate property to prevent trade secret misappropriation by the exiting founder.</w:t>
      </w:r>
      <w:r w:rsidRPr="005D6111">
        <w:rPr>
          <w:rFonts w:ascii="Arial" w:eastAsia="Times New Roman" w:hAnsi="Arial" w:cs="Arial"/>
          <w:color w:val="444746"/>
          <w:sz w:val="14"/>
          <w:szCs w:val="14"/>
          <w:vertAlign w:val="superscript"/>
          <w:lang w:eastAsia="en-IN"/>
        </w:rPr>
        <w:t>24</w:t>
      </w:r>
      <w:r w:rsidRPr="005D6111">
        <w:rPr>
          <w:rFonts w:ascii="Arial" w:eastAsia="Times New Roman" w:hAnsi="Arial" w:cs="Arial"/>
          <w:color w:val="1F1F1F"/>
          <w:lang w:eastAsia="en-IN"/>
        </w:rPr>
        <w:t xml:space="preserve"> Ultimately, as experienced venture capitalists note, almost all technical or market problems eventually distill down to "people problems," making structural interpersonal governance the ultimate bedrock of enterprise risk management.</w:t>
      </w:r>
      <w:r w:rsidRPr="005D6111">
        <w:rPr>
          <w:rFonts w:ascii="Arial" w:eastAsia="Times New Roman" w:hAnsi="Arial" w:cs="Arial"/>
          <w:color w:val="444746"/>
          <w:sz w:val="14"/>
          <w:szCs w:val="14"/>
          <w:vertAlign w:val="superscript"/>
          <w:lang w:eastAsia="en-IN"/>
        </w:rPr>
        <w:t>18</w:t>
      </w:r>
    </w:p>
    <w:p w:rsidR="005D6111" w:rsidRPr="005D6111" w:rsidRDefault="005D6111" w:rsidP="005D6111">
      <w:pPr>
        <w:spacing w:after="120" w:line="240" w:lineRule="auto"/>
        <w:outlineLvl w:val="1"/>
        <w:rPr>
          <w:rFonts w:ascii="Times New Roman" w:eastAsia="Times New Roman" w:hAnsi="Times New Roman" w:cs="Times New Roman"/>
          <w:b/>
          <w:bCs/>
          <w:sz w:val="36"/>
          <w:szCs w:val="36"/>
          <w:lang w:eastAsia="en-IN"/>
        </w:rPr>
      </w:pPr>
      <w:r w:rsidRPr="005D6111">
        <w:rPr>
          <w:rFonts w:ascii="Arial" w:eastAsia="Times New Roman" w:hAnsi="Arial" w:cs="Arial"/>
          <w:b/>
          <w:bCs/>
          <w:color w:val="1F1F1F"/>
          <w:sz w:val="36"/>
          <w:szCs w:val="36"/>
          <w:lang w:eastAsia="en-IN"/>
        </w:rPr>
        <w:t>Macroeconomic Volatility, Geopolitical Fragmentation, and Supply Chain Paralysis</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Enterprise strategy in 2026 is heavily subjugated to macroeconomic headwinds, tariff implementations, and deep-seated geopolitical realignments. Volatility is no longer perceived as a cyclical disruption or a temporary shock; it is a permanent structural condition resulting from the fundamental rewiring of global value chains, the accelerating energy transition, and mounting resource constraints.</w:t>
      </w:r>
      <w:r w:rsidRPr="005D6111">
        <w:rPr>
          <w:rFonts w:ascii="Arial" w:eastAsia="Times New Roman" w:hAnsi="Arial" w:cs="Arial"/>
          <w:color w:val="444746"/>
          <w:sz w:val="14"/>
          <w:szCs w:val="14"/>
          <w:vertAlign w:val="superscript"/>
          <w:lang w:eastAsia="en-IN"/>
        </w:rPr>
        <w:t>25</w:t>
      </w:r>
      <w:r w:rsidRPr="005D6111">
        <w:rPr>
          <w:rFonts w:ascii="Arial" w:eastAsia="Times New Roman" w:hAnsi="Arial" w:cs="Arial"/>
          <w:color w:val="1F1F1F"/>
          <w:lang w:eastAsia="en-IN"/>
        </w:rPr>
        <w:t xml:space="preserve"> Competitive advantage now belongs to organizations that prioritize foresight, operational optionality, and robust ecosystem coordination.</w:t>
      </w:r>
      <w:r w:rsidRPr="005D6111">
        <w:rPr>
          <w:rFonts w:ascii="Arial" w:eastAsia="Times New Roman" w:hAnsi="Arial" w:cs="Arial"/>
          <w:color w:val="444746"/>
          <w:sz w:val="14"/>
          <w:szCs w:val="14"/>
          <w:vertAlign w:val="superscript"/>
          <w:lang w:eastAsia="en-IN"/>
        </w:rPr>
        <w:t>25</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A central macroeconomic challenge for businesses operating in 2026 is the persistent, cascading effect of aggressive tariff actions implemented in 2025. Empirical data derived from high-frequency pricing models demonstrates that these tariffs pushed up the retail prices of imported goods by 5.4% relative to their pre-tariff baselines, while domestic goods in import-intensive sectors realized a 3% price inflation over the same period.</w:t>
      </w:r>
      <w:r w:rsidRPr="005D6111">
        <w:rPr>
          <w:rFonts w:ascii="Arial" w:eastAsia="Times New Roman" w:hAnsi="Arial" w:cs="Arial"/>
          <w:color w:val="444746"/>
          <w:sz w:val="14"/>
          <w:szCs w:val="14"/>
          <w:vertAlign w:val="superscript"/>
          <w:lang w:eastAsia="en-IN"/>
        </w:rPr>
        <w:t>26</w:t>
      </w:r>
      <w:r w:rsidRPr="005D6111">
        <w:rPr>
          <w:rFonts w:ascii="Arial" w:eastAsia="Times New Roman" w:hAnsi="Arial" w:cs="Arial"/>
          <w:color w:val="1F1F1F"/>
          <w:lang w:eastAsia="en-IN"/>
        </w:rPr>
        <w:t xml:space="preserve"> However, a critical second-order insight is that only approximately one-fifth of these tariff costs have reached the consumer retail shelves.</w:t>
      </w:r>
      <w:r w:rsidRPr="005D6111">
        <w:rPr>
          <w:rFonts w:ascii="Arial" w:eastAsia="Times New Roman" w:hAnsi="Arial" w:cs="Arial"/>
          <w:color w:val="444746"/>
          <w:sz w:val="14"/>
          <w:szCs w:val="14"/>
          <w:vertAlign w:val="superscript"/>
          <w:lang w:eastAsia="en-IN"/>
        </w:rPr>
        <w:t>26</w:t>
      </w:r>
      <w:r w:rsidRPr="005D6111">
        <w:rPr>
          <w:rFonts w:ascii="Arial" w:eastAsia="Times New Roman" w:hAnsi="Arial" w:cs="Arial"/>
          <w:color w:val="1F1F1F"/>
          <w:lang w:eastAsia="en-IN"/>
        </w:rPr>
        <w:t xml:space="preserve"> The vast majority of the financial burden is currently being absorbed upstream by manufacturers and wholesalers, leading to severe margin compression across multiple sectors.</w:t>
      </w:r>
      <w:r w:rsidRPr="005D6111">
        <w:rPr>
          <w:rFonts w:ascii="Arial" w:eastAsia="Times New Roman" w:hAnsi="Arial" w:cs="Arial"/>
          <w:color w:val="444746"/>
          <w:sz w:val="14"/>
          <w:szCs w:val="14"/>
          <w:vertAlign w:val="superscript"/>
          <w:lang w:eastAsia="en-IN"/>
        </w:rPr>
        <w:t>26</w:t>
      </w:r>
      <w:r w:rsidRPr="005D6111">
        <w:rPr>
          <w:rFonts w:ascii="Arial" w:eastAsia="Times New Roman" w:hAnsi="Arial" w:cs="Arial"/>
          <w:color w:val="1F1F1F"/>
          <w:lang w:eastAsia="en-IN"/>
        </w:rPr>
        <w:t xml:space="preserve"> Sectors with high import content, such as household furnishings and electronics, face the strongest pressure.</w:t>
      </w:r>
      <w:r w:rsidRPr="005D6111">
        <w:rPr>
          <w:rFonts w:ascii="Arial" w:eastAsia="Times New Roman" w:hAnsi="Arial" w:cs="Arial"/>
          <w:color w:val="444746"/>
          <w:sz w:val="14"/>
          <w:szCs w:val="14"/>
          <w:vertAlign w:val="superscript"/>
          <w:lang w:eastAsia="en-IN"/>
        </w:rPr>
        <w:t>26</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This margin compression exerts a deleterious effect on the broader economy. To maintain solvency amidst shrinking margins, manufacturers are forced to reduce capital expenditures (CapEx) and scale back on labor recruitment. This inadvertently cools downstream innovation cycles and leaves hardware-reliant startups particularly vulnerable to liquidity crises. Furthermore, the estimated cumulative contribution of these 2025 tariffs has added approximately 0.7 percentage points to overall inflation, keeping the Consumer Price Index persistently elevated near 3%.</w:t>
      </w:r>
      <w:r w:rsidRPr="005D6111">
        <w:rPr>
          <w:rFonts w:ascii="Arial" w:eastAsia="Times New Roman" w:hAnsi="Arial" w:cs="Arial"/>
          <w:color w:val="444746"/>
          <w:sz w:val="14"/>
          <w:szCs w:val="14"/>
          <w:vertAlign w:val="superscript"/>
          <w:lang w:eastAsia="en-IN"/>
        </w:rPr>
        <w:t>26</w:t>
      </w:r>
      <w:r w:rsidRPr="005D6111">
        <w:rPr>
          <w:rFonts w:ascii="Arial" w:eastAsia="Times New Roman" w:hAnsi="Arial" w:cs="Arial"/>
          <w:color w:val="1F1F1F"/>
          <w:lang w:eastAsia="en-IN"/>
        </w:rPr>
        <w:t xml:space="preserve"> Consequently, central banks are forced to maintain higher interest rates, which tightens venture capital liquidity, increases the cost of debt servicing for leveraged businesses, and makes the task of guiding inflation back to target exceptionally challenging.</w:t>
      </w:r>
      <w:r w:rsidRPr="005D6111">
        <w:rPr>
          <w:rFonts w:ascii="Arial" w:eastAsia="Times New Roman" w:hAnsi="Arial" w:cs="Arial"/>
          <w:color w:val="444746"/>
          <w:sz w:val="14"/>
          <w:szCs w:val="14"/>
          <w:vertAlign w:val="superscript"/>
          <w:lang w:eastAsia="en-IN"/>
        </w:rPr>
        <w:t>26</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Simultaneously, geopolitics has become the defining feature of supply chain management and overall enterprise risk mitigation. In 2026, 64% of organizations must actively factor geopolitically motivated disruptions—such as state-sponsored espionage, trade wars, or infrastructure sabotage—into their core business strategies.</w:t>
      </w:r>
      <w:r w:rsidRPr="005D6111">
        <w:rPr>
          <w:rFonts w:ascii="Arial" w:eastAsia="Times New Roman" w:hAnsi="Arial" w:cs="Arial"/>
          <w:color w:val="444746"/>
          <w:sz w:val="14"/>
          <w:szCs w:val="14"/>
          <w:vertAlign w:val="superscript"/>
          <w:lang w:eastAsia="en-IN"/>
        </w:rPr>
        <w:t>27</w:t>
      </w:r>
      <w:r w:rsidRPr="005D6111">
        <w:rPr>
          <w:rFonts w:ascii="Arial" w:eastAsia="Times New Roman" w:hAnsi="Arial" w:cs="Arial"/>
          <w:color w:val="1F1F1F"/>
          <w:lang w:eastAsia="en-IN"/>
        </w:rPr>
        <w:t xml:space="preserve"> Global supply chain disruptions cost businesses an estimated $184 billion annually, with 65% of companies reporting at least one major bottleneck in their networks.</w:t>
      </w:r>
      <w:r w:rsidRPr="005D6111">
        <w:rPr>
          <w:rFonts w:ascii="Arial" w:eastAsia="Times New Roman" w:hAnsi="Arial" w:cs="Arial"/>
          <w:color w:val="444746"/>
          <w:sz w:val="14"/>
          <w:szCs w:val="14"/>
          <w:vertAlign w:val="superscript"/>
          <w:lang w:eastAsia="en-IN"/>
        </w:rPr>
        <w:t>28</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World Economic Forum identifies state-based armed conflict and regional instability as top economic and humanitarian risks.</w:t>
      </w:r>
      <w:r w:rsidRPr="005D6111">
        <w:rPr>
          <w:rFonts w:ascii="Arial" w:eastAsia="Times New Roman" w:hAnsi="Arial" w:cs="Arial"/>
          <w:color w:val="444746"/>
          <w:sz w:val="14"/>
          <w:szCs w:val="14"/>
          <w:vertAlign w:val="superscript"/>
          <w:lang w:eastAsia="en-IN"/>
        </w:rPr>
        <w:t>29</w:t>
      </w:r>
      <w:r w:rsidRPr="005D6111">
        <w:rPr>
          <w:rFonts w:ascii="Arial" w:eastAsia="Times New Roman" w:hAnsi="Arial" w:cs="Arial"/>
          <w:color w:val="1F1F1F"/>
          <w:lang w:eastAsia="en-IN"/>
        </w:rPr>
        <w:t xml:space="preserve"> In regions like the Sahel, the withdrawal of traditional European diplomatic security and the rise of paramilitary groups have disrupted vital logistics corridors that were once secure.</w:t>
      </w:r>
      <w:r w:rsidRPr="005D6111">
        <w:rPr>
          <w:rFonts w:ascii="Arial" w:eastAsia="Times New Roman" w:hAnsi="Arial" w:cs="Arial"/>
          <w:color w:val="444746"/>
          <w:sz w:val="14"/>
          <w:szCs w:val="14"/>
          <w:vertAlign w:val="superscript"/>
          <w:lang w:eastAsia="en-IN"/>
        </w:rPr>
        <w:t>29</w:t>
      </w:r>
      <w:r w:rsidRPr="005D6111">
        <w:rPr>
          <w:rFonts w:ascii="Arial" w:eastAsia="Times New Roman" w:hAnsi="Arial" w:cs="Arial"/>
          <w:color w:val="1F1F1F"/>
          <w:lang w:eastAsia="en-IN"/>
        </w:rPr>
        <w:t xml:space="preserve"> This regional instability flows outward, resulting in refugee movements, disrupted logistics, and significantly heightened costs for maritime insurance and private security services, proving that localized unrest can inflict profound global economic impacts.</w:t>
      </w:r>
      <w:r w:rsidRPr="005D6111">
        <w:rPr>
          <w:rFonts w:ascii="Arial" w:eastAsia="Times New Roman" w:hAnsi="Arial" w:cs="Arial"/>
          <w:color w:val="444746"/>
          <w:sz w:val="14"/>
          <w:szCs w:val="14"/>
          <w:vertAlign w:val="superscript"/>
          <w:lang w:eastAsia="en-IN"/>
        </w:rPr>
        <w:t>29</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fragility of the modern supply chain is exacerbated by its opacity and structural concentration.</w:t>
      </w:r>
      <w:r w:rsidRPr="005D6111">
        <w:rPr>
          <w:rFonts w:ascii="Arial" w:eastAsia="Times New Roman" w:hAnsi="Arial" w:cs="Arial"/>
          <w:color w:val="444746"/>
          <w:sz w:val="14"/>
          <w:szCs w:val="14"/>
          <w:vertAlign w:val="superscript"/>
          <w:lang w:eastAsia="en-IN"/>
        </w:rPr>
        <w:t>27</w:t>
      </w:r>
      <w:r w:rsidRPr="005D6111">
        <w:rPr>
          <w:rFonts w:ascii="Arial" w:eastAsia="Times New Roman" w:hAnsi="Arial" w:cs="Arial"/>
          <w:color w:val="1F1F1F"/>
          <w:lang w:eastAsia="en-IN"/>
        </w:rPr>
        <w:t xml:space="preserve"> A targeted cyberattack, extreme weather event, or physical disruption at a </w:t>
      </w:r>
      <w:r w:rsidRPr="005D6111">
        <w:rPr>
          <w:rFonts w:ascii="Arial" w:eastAsia="Times New Roman" w:hAnsi="Arial" w:cs="Arial"/>
          <w:color w:val="1F1F1F"/>
          <w:lang w:eastAsia="en-IN"/>
        </w:rPr>
        <w:lastRenderedPageBreak/>
        <w:t>single tier-two or tier-three supplier can trigger a catastrophic global ecosystem failure.</w:t>
      </w:r>
      <w:r w:rsidRPr="005D6111">
        <w:rPr>
          <w:rFonts w:ascii="Arial" w:eastAsia="Times New Roman" w:hAnsi="Arial" w:cs="Arial"/>
          <w:color w:val="444746"/>
          <w:sz w:val="14"/>
          <w:szCs w:val="14"/>
          <w:vertAlign w:val="superscript"/>
          <w:lang w:eastAsia="en-IN"/>
        </w:rPr>
        <w:t>27</w:t>
      </w:r>
      <w:r w:rsidRPr="005D6111">
        <w:rPr>
          <w:rFonts w:ascii="Arial" w:eastAsia="Times New Roman" w:hAnsi="Arial" w:cs="Arial"/>
          <w:color w:val="1F1F1F"/>
          <w:lang w:eastAsia="en-IN"/>
        </w:rPr>
        <w:t xml:space="preserve"> In fact, Allianz reports that a global supply chain paralysis induced by a geopolitical conflict ranks as the most plausible "black swan" scenario over the next five years, cited by 51% of risk management respondents, followed closely by changes in legislation, tariffs, and mass social unrest.</w:t>
      </w:r>
      <w:r w:rsidRPr="005D6111">
        <w:rPr>
          <w:rFonts w:ascii="Arial" w:eastAsia="Times New Roman" w:hAnsi="Arial" w:cs="Arial"/>
          <w:color w:val="444746"/>
          <w:sz w:val="14"/>
          <w:szCs w:val="14"/>
          <w:vertAlign w:val="superscript"/>
          <w:lang w:eastAsia="en-IN"/>
        </w:rPr>
        <w:t>31</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To navigate this intense volatility, 74% of business leaders now view supply chain resilience not merely as a cost center or compliance requirement, but as a primary driver of competitive growth.</w:t>
      </w:r>
      <w:r w:rsidRPr="005D6111">
        <w:rPr>
          <w:rFonts w:ascii="Arial" w:eastAsia="Times New Roman" w:hAnsi="Arial" w:cs="Arial"/>
          <w:color w:val="444746"/>
          <w:sz w:val="14"/>
          <w:szCs w:val="14"/>
          <w:vertAlign w:val="superscript"/>
          <w:lang w:eastAsia="en-IN"/>
        </w:rPr>
        <w:t>25</w:t>
      </w:r>
      <w:r w:rsidRPr="005D6111">
        <w:rPr>
          <w:rFonts w:ascii="Arial" w:eastAsia="Times New Roman" w:hAnsi="Arial" w:cs="Arial"/>
          <w:color w:val="1F1F1F"/>
          <w:lang w:eastAsia="en-IN"/>
        </w:rPr>
        <w:t xml:space="preserve"> Enterprises are shifting away from pure inventory optimization toward systemic resilience.</w:t>
      </w:r>
      <w:r w:rsidRPr="005D6111">
        <w:rPr>
          <w:rFonts w:ascii="Arial" w:eastAsia="Times New Roman" w:hAnsi="Arial" w:cs="Arial"/>
          <w:color w:val="444746"/>
          <w:sz w:val="14"/>
          <w:szCs w:val="14"/>
          <w:vertAlign w:val="superscript"/>
          <w:lang w:eastAsia="en-IN"/>
        </w:rPr>
        <w:t>30</w:t>
      </w:r>
      <w:r w:rsidRPr="005D6111">
        <w:rPr>
          <w:rFonts w:ascii="Arial" w:eastAsia="Times New Roman" w:hAnsi="Arial" w:cs="Arial"/>
          <w:color w:val="1F1F1F"/>
          <w:lang w:eastAsia="en-IN"/>
        </w:rPr>
        <w:t xml:space="preserve"> This requires aggressively mapping upstream vulnerabilities to gain transparency into hidden tier-two and tier-three dependencies.</w:t>
      </w:r>
      <w:r w:rsidRPr="005D6111">
        <w:rPr>
          <w:rFonts w:ascii="Arial" w:eastAsia="Times New Roman" w:hAnsi="Arial" w:cs="Arial"/>
          <w:color w:val="444746"/>
          <w:sz w:val="14"/>
          <w:szCs w:val="14"/>
          <w:vertAlign w:val="superscript"/>
          <w:lang w:eastAsia="en-IN"/>
        </w:rPr>
        <w:t>28</w:t>
      </w:r>
      <w:r w:rsidRPr="005D6111">
        <w:rPr>
          <w:rFonts w:ascii="Arial" w:eastAsia="Times New Roman" w:hAnsi="Arial" w:cs="Arial"/>
          <w:color w:val="1F1F1F"/>
          <w:lang w:eastAsia="en-IN"/>
        </w:rPr>
        <w:t xml:space="preserve"> Furthermore, organizations must integrate climate change data, cybersecurity threat intelligence, and geopolitical factors into sophisticated risk models to inform strategic decision-making, ensuring they can physically secure resources and adapt to economic pressures before bottlenecks materialize.</w:t>
      </w:r>
      <w:r w:rsidRPr="005D6111">
        <w:rPr>
          <w:rFonts w:ascii="Arial" w:eastAsia="Times New Roman" w:hAnsi="Arial" w:cs="Arial"/>
          <w:color w:val="444746"/>
          <w:sz w:val="14"/>
          <w:szCs w:val="14"/>
          <w:vertAlign w:val="superscript"/>
          <w:lang w:eastAsia="en-IN"/>
        </w:rPr>
        <w:t>28</w:t>
      </w:r>
    </w:p>
    <w:p w:rsidR="005D6111" w:rsidRPr="005D6111" w:rsidRDefault="005D6111" w:rsidP="005D6111">
      <w:pPr>
        <w:spacing w:after="120" w:line="240" w:lineRule="auto"/>
        <w:outlineLvl w:val="1"/>
        <w:rPr>
          <w:rFonts w:ascii="Times New Roman" w:eastAsia="Times New Roman" w:hAnsi="Times New Roman" w:cs="Times New Roman"/>
          <w:b/>
          <w:bCs/>
          <w:sz w:val="36"/>
          <w:szCs w:val="36"/>
          <w:lang w:eastAsia="en-IN"/>
        </w:rPr>
      </w:pPr>
      <w:r w:rsidRPr="005D6111">
        <w:rPr>
          <w:rFonts w:ascii="Arial" w:eastAsia="Times New Roman" w:hAnsi="Arial" w:cs="Arial"/>
          <w:b/>
          <w:bCs/>
          <w:color w:val="1F1F1F"/>
          <w:sz w:val="36"/>
          <w:szCs w:val="36"/>
          <w:lang w:eastAsia="en-IN"/>
        </w:rPr>
        <w:t>The Weaponization of Artificial Intelligence and Evolving Cybersecurity Threats</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proliferation of Artificial Intelligence has catalyzed a profound epistemological shift in enterprise cybersecurity, transforming the threat landscape from human-driven, linear attacks into highly automated, scalable, and autonomous operations. According to the World Economic Forum's Global Cybersecurity Outlook 2026, an overwhelming 94% of global executives identify AI as the primary driver of disruption in the cybersecurity domain.</w:t>
      </w:r>
      <w:r w:rsidRPr="005D6111">
        <w:rPr>
          <w:rFonts w:ascii="Arial" w:eastAsia="Times New Roman" w:hAnsi="Arial" w:cs="Arial"/>
          <w:color w:val="444746"/>
          <w:sz w:val="14"/>
          <w:szCs w:val="14"/>
          <w:vertAlign w:val="superscript"/>
          <w:lang w:eastAsia="en-IN"/>
        </w:rPr>
        <w:t>27</w:t>
      </w:r>
      <w:r w:rsidRPr="005D6111">
        <w:rPr>
          <w:rFonts w:ascii="Arial" w:eastAsia="Times New Roman" w:hAnsi="Arial" w:cs="Arial"/>
          <w:color w:val="1F1F1F"/>
          <w:lang w:eastAsia="en-IN"/>
        </w:rPr>
        <w:t xml:space="preserve"> AI is no longer viewed merely as an enhancement to traditional cybercrime tradecraft; it is the fundamental engine driving the scale, speed, and sophistication of modern threat actors.</w:t>
      </w:r>
      <w:r w:rsidRPr="005D6111">
        <w:rPr>
          <w:rFonts w:ascii="Arial" w:eastAsia="Times New Roman" w:hAnsi="Arial" w:cs="Arial"/>
          <w:color w:val="444746"/>
          <w:sz w:val="14"/>
          <w:szCs w:val="14"/>
          <w:vertAlign w:val="superscript"/>
          <w:lang w:eastAsia="en-IN"/>
        </w:rPr>
        <w:t>32</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most critical risk for organizations in 2026 is the dramatically shrinking latency between the public release of a new AI capability and its weaponization by malicious actors.</w:t>
      </w:r>
      <w:r w:rsidRPr="005D6111">
        <w:rPr>
          <w:rFonts w:ascii="Arial" w:eastAsia="Times New Roman" w:hAnsi="Arial" w:cs="Arial"/>
          <w:color w:val="444746"/>
          <w:sz w:val="14"/>
          <w:szCs w:val="14"/>
          <w:vertAlign w:val="superscript"/>
          <w:lang w:eastAsia="en-IN"/>
        </w:rPr>
        <w:t>32</w:t>
      </w:r>
      <w:r w:rsidRPr="005D6111">
        <w:rPr>
          <w:rFonts w:ascii="Arial" w:eastAsia="Times New Roman" w:hAnsi="Arial" w:cs="Arial"/>
          <w:color w:val="1F1F1F"/>
          <w:lang w:eastAsia="en-IN"/>
        </w:rPr>
        <w:t xml:space="preserve"> Threat actors are actively utilizing advanced machine learning models to automate network reconnaissance, generate hyper-personalized phishing lures across multiple languages simultaneously, and accelerate the development of polymorphic malware capable of natively incorporating AI to evade traditional, signature-based detection systems.</w:t>
      </w:r>
      <w:r w:rsidRPr="005D6111">
        <w:rPr>
          <w:rFonts w:ascii="Arial" w:eastAsia="Times New Roman" w:hAnsi="Arial" w:cs="Arial"/>
          <w:color w:val="444746"/>
          <w:sz w:val="14"/>
          <w:szCs w:val="14"/>
          <w:vertAlign w:val="superscript"/>
          <w:lang w:eastAsia="en-IN"/>
        </w:rPr>
        <w:t>32</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emergence of "Agentic AI"—autonomous AI agents capable of executing entire, multi-stage attack sequences without any human oversight—represents an unprecedented enterprise threat.</w:t>
      </w:r>
      <w:r w:rsidRPr="005D6111">
        <w:rPr>
          <w:rFonts w:ascii="Arial" w:eastAsia="Times New Roman" w:hAnsi="Arial" w:cs="Arial"/>
          <w:color w:val="444746"/>
          <w:sz w:val="14"/>
          <w:szCs w:val="14"/>
          <w:vertAlign w:val="superscript"/>
          <w:lang w:eastAsia="en-IN"/>
        </w:rPr>
        <w:t>32</w:t>
      </w:r>
      <w:r w:rsidRPr="005D6111">
        <w:rPr>
          <w:rFonts w:ascii="Arial" w:eastAsia="Times New Roman" w:hAnsi="Arial" w:cs="Arial"/>
          <w:color w:val="1F1F1F"/>
          <w:lang w:eastAsia="en-IN"/>
        </w:rPr>
        <w:t xml:space="preserve"> In the context of ransomware, these autonomous agents are now being deployed to handle critical portions of the attack chain.</w:t>
      </w:r>
      <w:r w:rsidRPr="005D6111">
        <w:rPr>
          <w:rFonts w:ascii="Arial" w:eastAsia="Times New Roman" w:hAnsi="Arial" w:cs="Arial"/>
          <w:color w:val="444746"/>
          <w:sz w:val="14"/>
          <w:szCs w:val="14"/>
          <w:vertAlign w:val="superscript"/>
          <w:lang w:eastAsia="en-IN"/>
        </w:rPr>
        <w:t>33</w:t>
      </w:r>
      <w:r w:rsidRPr="005D6111">
        <w:rPr>
          <w:rFonts w:ascii="Arial" w:eastAsia="Times New Roman" w:hAnsi="Arial" w:cs="Arial"/>
          <w:color w:val="1F1F1F"/>
          <w:lang w:eastAsia="en-IN"/>
        </w:rPr>
        <w:t xml:space="preserve"> They conduct continuous vulnerability scanning, analyze exfiltrated corporate data to identify high-value intellectual property for maximum leverage, execute encryption payloads, and even negotiate ransom demands dynamically with victim organizations.</w:t>
      </w:r>
      <w:r w:rsidRPr="005D6111">
        <w:rPr>
          <w:rFonts w:ascii="Arial" w:eastAsia="Times New Roman" w:hAnsi="Arial" w:cs="Arial"/>
          <w:color w:val="444746"/>
          <w:sz w:val="14"/>
          <w:szCs w:val="14"/>
          <w:vertAlign w:val="superscript"/>
          <w:lang w:eastAsia="en-IN"/>
        </w:rPr>
        <w:t>33</w:t>
      </w:r>
      <w:r w:rsidRPr="005D6111">
        <w:rPr>
          <w:rFonts w:ascii="Arial" w:eastAsia="Times New Roman" w:hAnsi="Arial" w:cs="Arial"/>
          <w:color w:val="1F1F1F"/>
          <w:lang w:eastAsia="en-IN"/>
        </w:rPr>
        <w:t xml:space="preserve"> This automation of the cybercrime supply chain allows a widening pool of less-skilled threat actors to leverage sophisticated infrastructure, punching significantly above their weight and increasing the overall volume of attacks targeting interconnected cloud services.</w:t>
      </w:r>
      <w:r w:rsidRPr="005D6111">
        <w:rPr>
          <w:rFonts w:ascii="Arial" w:eastAsia="Times New Roman" w:hAnsi="Arial" w:cs="Arial"/>
          <w:color w:val="444746"/>
          <w:sz w:val="14"/>
          <w:szCs w:val="14"/>
          <w:vertAlign w:val="superscript"/>
          <w:lang w:eastAsia="en-IN"/>
        </w:rPr>
        <w:t>32</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Conversely, the rapid integration of generative AI (genAI) into internal enterprise workflows introduces massive endogenous risks that blur the boundaries between innovation and exposure.</w:t>
      </w:r>
      <w:r w:rsidRPr="005D6111">
        <w:rPr>
          <w:rFonts w:ascii="Arial" w:eastAsia="Times New Roman" w:hAnsi="Arial" w:cs="Arial"/>
          <w:color w:val="444746"/>
          <w:sz w:val="14"/>
          <w:szCs w:val="14"/>
          <w:vertAlign w:val="superscript"/>
          <w:lang w:eastAsia="en-IN"/>
        </w:rPr>
        <w:t>33</w:t>
      </w:r>
      <w:r w:rsidRPr="005D6111">
        <w:rPr>
          <w:rFonts w:ascii="Arial" w:eastAsia="Times New Roman" w:hAnsi="Arial" w:cs="Arial"/>
          <w:color w:val="1F1F1F"/>
          <w:lang w:eastAsia="en-IN"/>
        </w:rPr>
        <w:t xml:space="preserve"> The World Economic Forum notes that the foremost genAI concern among corporate leaders in 2026 is the risk of data leaks, cited by 34% of respondents.</w:t>
      </w:r>
      <w:r w:rsidRPr="005D6111">
        <w:rPr>
          <w:rFonts w:ascii="Arial" w:eastAsia="Times New Roman" w:hAnsi="Arial" w:cs="Arial"/>
          <w:color w:val="444746"/>
          <w:sz w:val="14"/>
          <w:szCs w:val="14"/>
          <w:vertAlign w:val="superscript"/>
          <w:lang w:eastAsia="en-IN"/>
        </w:rPr>
        <w:t>27</w:t>
      </w:r>
      <w:r w:rsidRPr="005D6111">
        <w:rPr>
          <w:rFonts w:ascii="Arial" w:eastAsia="Times New Roman" w:hAnsi="Arial" w:cs="Arial"/>
          <w:color w:val="1F1F1F"/>
          <w:lang w:eastAsia="en-IN"/>
        </w:rPr>
        <w:t xml:space="preserve"> This represents a crucial shift in focus from external offensive threats to the internal, unintended exposure of highly sensitive corporate IP and customer data through employee interactions with large language models.</w:t>
      </w:r>
      <w:r w:rsidRPr="005D6111">
        <w:rPr>
          <w:rFonts w:ascii="Arial" w:eastAsia="Times New Roman" w:hAnsi="Arial" w:cs="Arial"/>
          <w:color w:val="444746"/>
          <w:sz w:val="14"/>
          <w:szCs w:val="14"/>
          <w:vertAlign w:val="superscript"/>
          <w:lang w:eastAsia="en-IN"/>
        </w:rPr>
        <w:t>27</w:t>
      </w:r>
      <w:r w:rsidRPr="005D6111">
        <w:rPr>
          <w:rFonts w:ascii="Arial" w:eastAsia="Times New Roman" w:hAnsi="Arial" w:cs="Arial"/>
          <w:color w:val="1F1F1F"/>
          <w:lang w:eastAsia="en-IN"/>
        </w:rPr>
        <w:t xml:space="preserve"> Additionally, 29% of leaders highlight adversarial capabilities—such as the creation of deepfakes and advanced social engineering—as a primary concern, which can be utilized to bypass biometric security or execute highly convincing executive </w:t>
      </w:r>
      <w:r w:rsidRPr="005D6111">
        <w:rPr>
          <w:rFonts w:ascii="Arial" w:eastAsia="Times New Roman" w:hAnsi="Arial" w:cs="Arial"/>
          <w:color w:val="1F1F1F"/>
          <w:lang w:eastAsia="en-IN"/>
        </w:rPr>
        <w:lastRenderedPageBreak/>
        <w:t>impersonation fraud.</w:t>
      </w:r>
      <w:r w:rsidRPr="005D6111">
        <w:rPr>
          <w:rFonts w:ascii="Arial" w:eastAsia="Times New Roman" w:hAnsi="Arial" w:cs="Arial"/>
          <w:color w:val="444746"/>
          <w:sz w:val="14"/>
          <w:szCs w:val="14"/>
          <w:vertAlign w:val="superscript"/>
          <w:lang w:eastAsia="en-IN"/>
        </w:rPr>
        <w:t>27</w:t>
      </w:r>
      <w:r w:rsidRPr="005D6111">
        <w:rPr>
          <w:rFonts w:ascii="Arial" w:eastAsia="Times New Roman" w:hAnsi="Arial" w:cs="Arial"/>
          <w:color w:val="1F1F1F"/>
          <w:lang w:eastAsia="en-IN"/>
        </w:rPr>
        <w:t xml:space="preserve"> Cyber-enabled fraud has become so pervasive that 73% of survey respondents reported personal or network exposure to it in the preceding year, prompting CEOs to rank fraud and phishing as their top operational concerns, superseding even ransomware.</w:t>
      </w:r>
      <w:r w:rsidRPr="005D6111">
        <w:rPr>
          <w:rFonts w:ascii="Arial" w:eastAsia="Times New Roman" w:hAnsi="Arial" w:cs="Arial"/>
          <w:color w:val="444746"/>
          <w:sz w:val="14"/>
          <w:szCs w:val="14"/>
          <w:vertAlign w:val="superscript"/>
          <w:lang w:eastAsia="en-IN"/>
        </w:rPr>
        <w:t>27</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rapid adoption of AI tools has severely outpaced the development of robust security governance frameworks.</w:t>
      </w:r>
      <w:r w:rsidRPr="005D6111">
        <w:rPr>
          <w:rFonts w:ascii="Arial" w:eastAsia="Times New Roman" w:hAnsi="Arial" w:cs="Arial"/>
          <w:color w:val="444746"/>
          <w:sz w:val="14"/>
          <w:szCs w:val="14"/>
          <w:vertAlign w:val="superscript"/>
          <w:lang w:eastAsia="en-IN"/>
        </w:rPr>
        <w:t>27</w:t>
      </w:r>
      <w:r w:rsidRPr="005D6111">
        <w:rPr>
          <w:rFonts w:ascii="Arial" w:eastAsia="Times New Roman" w:hAnsi="Arial" w:cs="Arial"/>
          <w:color w:val="1F1F1F"/>
          <w:lang w:eastAsia="en-IN"/>
        </w:rPr>
        <w:t xml:space="preserve"> While 64% of organizations now have processes to assess AI security before deployment, human expertise continues to struggle to keep pace with the innovation curve.</w:t>
      </w:r>
      <w:r w:rsidRPr="005D6111">
        <w:rPr>
          <w:rFonts w:ascii="Arial" w:eastAsia="Times New Roman" w:hAnsi="Arial" w:cs="Arial"/>
          <w:color w:val="444746"/>
          <w:sz w:val="14"/>
          <w:szCs w:val="14"/>
          <w:vertAlign w:val="superscript"/>
          <w:lang w:eastAsia="en-IN"/>
        </w:rPr>
        <w:t>27</w:t>
      </w:r>
      <w:r w:rsidRPr="005D6111">
        <w:rPr>
          <w:rFonts w:ascii="Arial" w:eastAsia="Times New Roman" w:hAnsi="Arial" w:cs="Arial"/>
          <w:color w:val="1F1F1F"/>
          <w:lang w:eastAsia="en-IN"/>
        </w:rPr>
        <w:t xml:space="preserve"> This disparity gives rise to "Shadow AI"—the unsanctioned use of AI applications by employees—which creates vast, unmonitored attack surfaces and massive governance gaps.</w:t>
      </w:r>
      <w:r w:rsidRPr="005D6111">
        <w:rPr>
          <w:rFonts w:ascii="Arial" w:eastAsia="Times New Roman" w:hAnsi="Arial" w:cs="Arial"/>
          <w:color w:val="444746"/>
          <w:sz w:val="14"/>
          <w:szCs w:val="14"/>
          <w:vertAlign w:val="superscript"/>
          <w:lang w:eastAsia="en-IN"/>
        </w:rPr>
        <w:t>34</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To compound matters, a new battleground termed "Algorithmic Transparency" has emerged in 2026.</w:t>
      </w:r>
      <w:r w:rsidRPr="005D6111">
        <w:rPr>
          <w:rFonts w:ascii="Arial" w:eastAsia="Times New Roman" w:hAnsi="Arial" w:cs="Arial"/>
          <w:color w:val="444746"/>
          <w:sz w:val="14"/>
          <w:szCs w:val="14"/>
          <w:vertAlign w:val="superscript"/>
          <w:lang w:eastAsia="en-IN"/>
        </w:rPr>
        <w:t>34</w:t>
      </w:r>
      <w:r w:rsidRPr="005D6111">
        <w:rPr>
          <w:rFonts w:ascii="Arial" w:eastAsia="Times New Roman" w:hAnsi="Arial" w:cs="Arial"/>
          <w:color w:val="1F1F1F"/>
          <w:lang w:eastAsia="en-IN"/>
        </w:rPr>
        <w:t xml:space="preserve"> Regulatory bodies and cyber insurance underwriters increasingly demand proof that an enterprise's AI systems are not making biased or shady decisions, and security teams are refusing to trust opaque "black box" defensive tools.</w:t>
      </w:r>
      <w:r w:rsidRPr="005D6111">
        <w:rPr>
          <w:rFonts w:ascii="Arial" w:eastAsia="Times New Roman" w:hAnsi="Arial" w:cs="Arial"/>
          <w:color w:val="444746"/>
          <w:sz w:val="14"/>
          <w:szCs w:val="14"/>
          <w:vertAlign w:val="superscript"/>
          <w:lang w:eastAsia="en-IN"/>
        </w:rPr>
        <w:t>34</w:t>
      </w:r>
      <w:r w:rsidRPr="005D6111">
        <w:rPr>
          <w:rFonts w:ascii="Arial" w:eastAsia="Times New Roman" w:hAnsi="Arial" w:cs="Arial"/>
          <w:color w:val="1F1F1F"/>
          <w:lang w:eastAsia="en-IN"/>
        </w:rPr>
        <w:t xml:space="preserve"> If a defensive AI tool cannot clearly articulate its reasoning for flagging a threat, organizations face immense friction in securing internal buy-in, passing compliance audits, and maintaining vital cybersecurity insurance coverage.</w:t>
      </w:r>
      <w:r w:rsidRPr="005D6111">
        <w:rPr>
          <w:rFonts w:ascii="Arial" w:eastAsia="Times New Roman" w:hAnsi="Arial" w:cs="Arial"/>
          <w:color w:val="444746"/>
          <w:sz w:val="14"/>
          <w:szCs w:val="14"/>
          <w:vertAlign w:val="superscript"/>
          <w:lang w:eastAsia="en-IN"/>
        </w:rPr>
        <w:t>34</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To survive this AI arms race, organizations are forced to transition from outdated prevention models to a posture of continuous cyber resilience and threat exposure management.</w:t>
      </w:r>
      <w:r w:rsidRPr="005D6111">
        <w:rPr>
          <w:rFonts w:ascii="Arial" w:eastAsia="Times New Roman" w:hAnsi="Arial" w:cs="Arial"/>
          <w:color w:val="444746"/>
          <w:sz w:val="14"/>
          <w:szCs w:val="14"/>
          <w:vertAlign w:val="superscript"/>
          <w:lang w:eastAsia="en-IN"/>
        </w:rPr>
        <w:t>34</w:t>
      </w:r>
      <w:r w:rsidRPr="005D6111">
        <w:rPr>
          <w:rFonts w:ascii="Arial" w:eastAsia="Times New Roman" w:hAnsi="Arial" w:cs="Arial"/>
          <w:color w:val="1F1F1F"/>
          <w:lang w:eastAsia="en-IN"/>
        </w:rPr>
        <w:t xml:space="preserve"> This necessitates investing heavily in AI-enhanced defenses, deploying "Agentic Security Operations Centers (SOCs)" to counter autonomous threats, securing complex supply chains, and critically, preparing for "Q Day"—the point at which quantum computing advancements threaten to break contemporary cryptographic standards.</w:t>
      </w:r>
      <w:r w:rsidRPr="005D6111">
        <w:rPr>
          <w:rFonts w:ascii="Arial" w:eastAsia="Times New Roman" w:hAnsi="Arial" w:cs="Arial"/>
          <w:color w:val="444746"/>
          <w:sz w:val="14"/>
          <w:szCs w:val="14"/>
          <w:vertAlign w:val="superscript"/>
          <w:lang w:eastAsia="en-IN"/>
        </w:rPr>
        <w:t>27</w:t>
      </w:r>
    </w:p>
    <w:p w:rsidR="005D6111" w:rsidRPr="005D6111" w:rsidRDefault="005D6111" w:rsidP="005D6111">
      <w:pPr>
        <w:spacing w:after="120" w:line="240" w:lineRule="auto"/>
        <w:outlineLvl w:val="1"/>
        <w:rPr>
          <w:rFonts w:ascii="Times New Roman" w:eastAsia="Times New Roman" w:hAnsi="Times New Roman" w:cs="Times New Roman"/>
          <w:b/>
          <w:bCs/>
          <w:sz w:val="36"/>
          <w:szCs w:val="36"/>
          <w:lang w:eastAsia="en-IN"/>
        </w:rPr>
      </w:pPr>
      <w:r w:rsidRPr="005D6111">
        <w:rPr>
          <w:rFonts w:ascii="Arial" w:eastAsia="Times New Roman" w:hAnsi="Arial" w:cs="Arial"/>
          <w:b/>
          <w:bCs/>
          <w:color w:val="1F1F1F"/>
          <w:sz w:val="36"/>
          <w:szCs w:val="36"/>
          <w:lang w:eastAsia="en-IN"/>
        </w:rPr>
        <w:t>The Regulatory Labyrinth: Global Compliance and the Indian Paradox</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 xml:space="preserve">In addition to geopolitical threats and cyber vulnerabilities, the proliferation of localized, highly stringent regulatory frameworks </w:t>
      </w:r>
      <w:proofErr w:type="gramStart"/>
      <w:r w:rsidRPr="005D6111">
        <w:rPr>
          <w:rFonts w:ascii="Arial" w:eastAsia="Times New Roman" w:hAnsi="Arial" w:cs="Arial"/>
          <w:color w:val="1F1F1F"/>
          <w:lang w:eastAsia="en-IN"/>
        </w:rPr>
        <w:t>poses</w:t>
      </w:r>
      <w:proofErr w:type="gramEnd"/>
      <w:r w:rsidRPr="005D6111">
        <w:rPr>
          <w:rFonts w:ascii="Arial" w:eastAsia="Times New Roman" w:hAnsi="Arial" w:cs="Arial"/>
          <w:color w:val="1F1F1F"/>
          <w:lang w:eastAsia="en-IN"/>
        </w:rPr>
        <w:t xml:space="preserve"> an existential compliance risk to modern businesses. The global divergence of technology laws, data protection mandates, and labor regulations means that a company's ability to scale is frequently hindered by its capacity to navigate a patchwork of conflicting legal jurisdictions. Twenty-eight percent of US executives explicitly cite regulation as the primary constraint limiting their company's growth plans.</w:t>
      </w:r>
      <w:r w:rsidRPr="005D6111">
        <w:rPr>
          <w:rFonts w:ascii="Arial" w:eastAsia="Times New Roman" w:hAnsi="Arial" w:cs="Arial"/>
          <w:color w:val="444746"/>
          <w:sz w:val="14"/>
          <w:szCs w:val="14"/>
          <w:vertAlign w:val="superscript"/>
          <w:lang w:eastAsia="en-IN"/>
        </w:rPr>
        <w:t>36</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For startups operating remote or hybrid workforces, multi-state compliance has become a hidden trap. Hiring a single remote employee in a new state or country is no longer a simple administrative task; it is an entry into a new legal jurisdiction.</w:t>
      </w:r>
      <w:r w:rsidRPr="005D6111">
        <w:rPr>
          <w:rFonts w:ascii="Arial" w:eastAsia="Times New Roman" w:hAnsi="Arial" w:cs="Arial"/>
          <w:color w:val="444746"/>
          <w:sz w:val="14"/>
          <w:szCs w:val="14"/>
          <w:vertAlign w:val="superscript"/>
          <w:lang w:eastAsia="en-IN"/>
        </w:rPr>
        <w:t>37</w:t>
      </w:r>
      <w:r w:rsidRPr="005D6111">
        <w:rPr>
          <w:rFonts w:ascii="Arial" w:eastAsia="Times New Roman" w:hAnsi="Arial" w:cs="Arial"/>
          <w:color w:val="1F1F1F"/>
          <w:lang w:eastAsia="en-IN"/>
        </w:rPr>
        <w:t xml:space="preserve"> For example, in India, digital integration linking Goods and Services Tax (GST), Provident Fund (PF), and State Tax portals means companies can no longer fly under the regulatory radar.</w:t>
      </w:r>
      <w:r w:rsidRPr="005D6111">
        <w:rPr>
          <w:rFonts w:ascii="Arial" w:eastAsia="Times New Roman" w:hAnsi="Arial" w:cs="Arial"/>
          <w:color w:val="444746"/>
          <w:sz w:val="14"/>
          <w:szCs w:val="14"/>
          <w:vertAlign w:val="superscript"/>
          <w:lang w:eastAsia="en-IN"/>
        </w:rPr>
        <w:t>37</w:t>
      </w:r>
      <w:r w:rsidRPr="005D6111">
        <w:rPr>
          <w:rFonts w:ascii="Arial" w:eastAsia="Times New Roman" w:hAnsi="Arial" w:cs="Arial"/>
          <w:color w:val="1F1F1F"/>
          <w:lang w:eastAsia="en-IN"/>
        </w:rPr>
        <w:t xml:space="preserve"> Failing to register for Professional Tax (PT) in a state where a single employee resides invites immediate suo-moto notices from tax authorities, transforming professional payroll services from a basic accounting expense into an enterprise's primary legal defense mechanism.</w:t>
      </w:r>
      <w:r w:rsidRPr="005D6111">
        <w:rPr>
          <w:rFonts w:ascii="Arial" w:eastAsia="Times New Roman" w:hAnsi="Arial" w:cs="Arial"/>
          <w:color w:val="444746"/>
          <w:sz w:val="14"/>
          <w:szCs w:val="14"/>
          <w:vertAlign w:val="superscript"/>
          <w:lang w:eastAsia="en-IN"/>
        </w:rPr>
        <w:t>37</w:t>
      </w:r>
      <w:r w:rsidRPr="005D6111">
        <w:rPr>
          <w:rFonts w:ascii="Arial" w:eastAsia="Times New Roman" w:hAnsi="Arial" w:cs="Arial"/>
          <w:color w:val="1F1F1F"/>
          <w:lang w:eastAsia="en-IN"/>
        </w:rPr>
        <w:t xml:space="preserve"> Companies must also ensure strict compliance with the Income Tax Act regarding Tax Deducted at Source (TDS) and GST regulations, particularly when receiving foreign funding which is heavily scrutinized as "income from other sources".</w:t>
      </w:r>
      <w:r w:rsidRPr="005D6111">
        <w:rPr>
          <w:rFonts w:ascii="Arial" w:eastAsia="Times New Roman" w:hAnsi="Arial" w:cs="Arial"/>
          <w:color w:val="444746"/>
          <w:sz w:val="14"/>
          <w:szCs w:val="14"/>
          <w:vertAlign w:val="superscript"/>
          <w:lang w:eastAsia="en-IN"/>
        </w:rPr>
        <w:t>38</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India, and specifically the state of Karnataka (which houses Bengaluru, India's premier tech hub), provides a paramount case study in the extreme complexities, policy shifts, and political contradictions of regional regulation in 2026. India is undergoing massive legislative overhauls concerning Artificial Intelligence, Deep Tech, Online Gaming, and Data Protection.</w:t>
      </w:r>
      <w:r w:rsidRPr="005D6111">
        <w:rPr>
          <w:rFonts w:ascii="Arial" w:eastAsia="Times New Roman" w:hAnsi="Arial" w:cs="Arial"/>
          <w:color w:val="444746"/>
          <w:sz w:val="14"/>
          <w:szCs w:val="14"/>
          <w:vertAlign w:val="superscript"/>
          <w:lang w:eastAsia="en-IN"/>
        </w:rPr>
        <w:t>39</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lastRenderedPageBreak/>
        <w:t>The implementation of the Digital Personal Data Protection Act (DPDPA), formalized through the 2025 Rules, represents a monumental compliance hurdle.</w:t>
      </w:r>
      <w:r w:rsidRPr="005D6111">
        <w:rPr>
          <w:rFonts w:ascii="Arial" w:eastAsia="Times New Roman" w:hAnsi="Arial" w:cs="Arial"/>
          <w:color w:val="444746"/>
          <w:sz w:val="14"/>
          <w:szCs w:val="14"/>
          <w:vertAlign w:val="superscript"/>
          <w:lang w:eastAsia="en-IN"/>
        </w:rPr>
        <w:t>39</w:t>
      </w:r>
      <w:r w:rsidRPr="005D6111">
        <w:rPr>
          <w:rFonts w:ascii="Arial" w:eastAsia="Times New Roman" w:hAnsi="Arial" w:cs="Arial"/>
          <w:color w:val="1F1F1F"/>
          <w:lang w:eastAsia="en-IN"/>
        </w:rPr>
        <w:t xml:space="preserve"> While initially designed for a phased rollout extending through May 2027, the Ministry of Electronics and Information Technology (MeitY) has signaled intentions to fast-track compliance for "Big Tech" and large-scale data handlers, potentially condensing the timeline to 12 months or less.</w:t>
      </w:r>
      <w:r w:rsidRPr="005D6111">
        <w:rPr>
          <w:rFonts w:ascii="Arial" w:eastAsia="Times New Roman" w:hAnsi="Arial" w:cs="Arial"/>
          <w:color w:val="444746"/>
          <w:sz w:val="14"/>
          <w:szCs w:val="14"/>
          <w:vertAlign w:val="superscript"/>
          <w:lang w:eastAsia="en-IN"/>
        </w:rPr>
        <w:t>39</w:t>
      </w:r>
      <w:r w:rsidRPr="005D6111">
        <w:rPr>
          <w:rFonts w:ascii="Arial" w:eastAsia="Times New Roman" w:hAnsi="Arial" w:cs="Arial"/>
          <w:color w:val="1F1F1F"/>
          <w:lang w:eastAsia="en-IN"/>
        </w:rPr>
        <w:t xml:space="preserve"> The looming enforcement by the newly constituted Data Protection Board, alongside the impending Consent Manager Framework, introduces severe risks for startups lacking robust, auditable data consent and privacy architectures.</w:t>
      </w:r>
      <w:r w:rsidRPr="005D6111">
        <w:rPr>
          <w:rFonts w:ascii="Arial" w:eastAsia="Times New Roman" w:hAnsi="Arial" w:cs="Arial"/>
          <w:color w:val="444746"/>
          <w:sz w:val="14"/>
          <w:szCs w:val="14"/>
          <w:vertAlign w:val="superscript"/>
          <w:lang w:eastAsia="en-IN"/>
        </w:rPr>
        <w:t>39</w:t>
      </w:r>
      <w:r w:rsidRPr="005D6111">
        <w:rPr>
          <w:rFonts w:ascii="Arial" w:eastAsia="Times New Roman" w:hAnsi="Arial" w:cs="Arial"/>
          <w:color w:val="1F1F1F"/>
          <w:lang w:eastAsia="en-IN"/>
        </w:rPr>
        <w:t xml:space="preserve"> Furthermore, entire sectors face regulatory annihilation; the 2025 Online Gaming Act effectively banned online money games, triggering overnight industry closures, mass layoffs, and high-stakes Supreme Court constitutional challenges scheduled for 2026 to determine if these activities should be taxed as games of skill or gambling.</w:t>
      </w:r>
      <w:r w:rsidRPr="005D6111">
        <w:rPr>
          <w:rFonts w:ascii="Arial" w:eastAsia="Times New Roman" w:hAnsi="Arial" w:cs="Arial"/>
          <w:color w:val="444746"/>
          <w:sz w:val="14"/>
          <w:szCs w:val="14"/>
          <w:vertAlign w:val="superscript"/>
          <w:lang w:eastAsia="en-IN"/>
        </w:rPr>
        <w:t>39</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However, the most acute business risks emerge from the paradox of regional economic policies versus localized labor mandates. The Karnataka government has aggressive ambitions to solidify its position as a global innovation capital. It recently enacted the Karnataka Startup Policy 2025–2030, supported by a ₹571 crore (approx. $68 million) outlay, aiming to foster 25,000 new startups over five years, heavily emphasizing AI, Quantum Computing, Deep Tech, and Electronics System Design and Manufacturing (ESDM).</w:t>
      </w:r>
      <w:r w:rsidRPr="005D6111">
        <w:rPr>
          <w:rFonts w:ascii="Arial" w:eastAsia="Times New Roman" w:hAnsi="Arial" w:cs="Arial"/>
          <w:color w:val="444746"/>
          <w:sz w:val="14"/>
          <w:szCs w:val="14"/>
          <w:vertAlign w:val="superscript"/>
          <w:lang w:eastAsia="en-IN"/>
        </w:rPr>
        <w:t>42</w:t>
      </w:r>
      <w:r w:rsidRPr="005D6111">
        <w:rPr>
          <w:rFonts w:ascii="Arial" w:eastAsia="Times New Roman" w:hAnsi="Arial" w:cs="Arial"/>
          <w:color w:val="1F1F1F"/>
          <w:lang w:eastAsia="en-IN"/>
        </w:rPr>
        <w:t xml:space="preserve"> Concurrently, the state launched a highly ambitious Global Capability Center (GCC) Policy (2024-2029) designed to attract 500 new multinational capability centers, create 350,000 jobs, and generate $50 billion in economic output through incentives like stipends and IP patent cost reimbursements.</w:t>
      </w:r>
      <w:r w:rsidRPr="005D6111">
        <w:rPr>
          <w:rFonts w:ascii="Arial" w:eastAsia="Times New Roman" w:hAnsi="Arial" w:cs="Arial"/>
          <w:color w:val="444746"/>
          <w:sz w:val="14"/>
          <w:szCs w:val="14"/>
          <w:vertAlign w:val="superscript"/>
          <w:lang w:eastAsia="en-IN"/>
        </w:rPr>
        <w:t>44</w:t>
      </w:r>
      <w:r w:rsidRPr="005D6111">
        <w:rPr>
          <w:rFonts w:ascii="Arial" w:eastAsia="Times New Roman" w:hAnsi="Arial" w:cs="Arial"/>
          <w:color w:val="1F1F1F"/>
          <w:lang w:eastAsia="en-IN"/>
        </w:rPr>
        <w:t xml:space="preserve"> To decentralize the ecosystem, the "Beyond Bengaluru" initiative provides massive subsidies, such as the ₹75-crore Seed Fund and KATALYST support, to push startups into tier-2 cities like Mysuru, Mangaluru, and Hubballi-Dharwad.</w:t>
      </w:r>
      <w:r w:rsidRPr="005D6111">
        <w:rPr>
          <w:rFonts w:ascii="Arial" w:eastAsia="Times New Roman" w:hAnsi="Arial" w:cs="Arial"/>
          <w:color w:val="444746"/>
          <w:sz w:val="14"/>
          <w:szCs w:val="14"/>
          <w:vertAlign w:val="superscript"/>
          <w:lang w:eastAsia="en-IN"/>
        </w:rPr>
        <w:t>42</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Despite these forward-looking, innovation-centric policies, the regional government simultaneously introduced protectionist and highly controversial labor legislations, creating profound macroeconomic friction and terrifying foreign investors.</w:t>
      </w:r>
      <w:r w:rsidRPr="005D6111">
        <w:rPr>
          <w:rFonts w:ascii="Arial" w:eastAsia="Times New Roman" w:hAnsi="Arial" w:cs="Arial"/>
          <w:color w:val="444746"/>
          <w:sz w:val="14"/>
          <w:szCs w:val="14"/>
          <w:vertAlign w:val="superscript"/>
          <w:lang w:eastAsia="en-IN"/>
        </w:rPr>
        <w:t>50</w:t>
      </w:r>
    </w:p>
    <w:p w:rsidR="005D6111" w:rsidRPr="005D6111" w:rsidRDefault="005D6111" w:rsidP="005D6111">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956"/>
        <w:gridCol w:w="2836"/>
        <w:gridCol w:w="4218"/>
      </w:tblGrid>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Karnataka Regulatory Policy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Policy Objective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Associated Business Risks &amp; Market Friction</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Karnataka Startup &amp; GCC Policies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Attract 500 GCCs, create 25,000 startups, drive $50B in tech output through R&amp;D and stipends.</w:t>
            </w:r>
            <w:r w:rsidRPr="005D6111">
              <w:rPr>
                <w:rFonts w:ascii="Arial" w:eastAsia="Times New Roman" w:hAnsi="Arial" w:cs="Arial"/>
                <w:color w:val="444746"/>
                <w:sz w:val="14"/>
                <w:szCs w:val="14"/>
                <w:vertAlign w:val="superscript"/>
                <w:lang w:eastAsia="en-IN"/>
              </w:rPr>
              <w:t>42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Requires massive influx of elite, specialized global talent; conflicts heavily with local hiring mandates.</w:t>
            </w:r>
            <w:r w:rsidRPr="005D6111">
              <w:rPr>
                <w:rFonts w:ascii="Arial" w:eastAsia="Times New Roman" w:hAnsi="Arial" w:cs="Arial"/>
                <w:color w:val="444746"/>
                <w:sz w:val="14"/>
                <w:szCs w:val="14"/>
                <w:vertAlign w:val="superscript"/>
                <w:lang w:eastAsia="en-IN"/>
              </w:rPr>
              <w:t>46</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Local Employment Reservation Bill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Mandate 50% reservation for local Kannadigas in management and 70-75% in non-management private sector roles.</w:t>
            </w:r>
            <w:r w:rsidRPr="005D6111">
              <w:rPr>
                <w:rFonts w:ascii="Arial" w:eastAsia="Times New Roman" w:hAnsi="Arial" w:cs="Arial"/>
                <w:color w:val="444746"/>
                <w:sz w:val="14"/>
                <w:szCs w:val="14"/>
                <w:vertAlign w:val="superscript"/>
                <w:lang w:eastAsia="en-IN"/>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Threatens to decimate Bengaluru's diverse talent pool. Imposes massive compliance costs via government officers monitoring hiring. High risk of capital flight and GCC relocation to competing hubs like Pune or Hyderabad.</w:t>
            </w:r>
            <w:r w:rsidRPr="005D6111">
              <w:rPr>
                <w:rFonts w:ascii="Arial" w:eastAsia="Times New Roman" w:hAnsi="Arial" w:cs="Arial"/>
                <w:color w:val="444746"/>
                <w:sz w:val="14"/>
                <w:szCs w:val="14"/>
                <w:vertAlign w:val="superscript"/>
                <w:lang w:eastAsia="en-IN"/>
              </w:rPr>
              <w:t>50</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lastRenderedPageBreak/>
              <w:t>14-Hour Workday Amendment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Extend daily working hour caps from 9 to 14 hours (allowing up to a 70-hour work week) in the IT/ITES sector.</w:t>
            </w:r>
            <w:r w:rsidRPr="005D6111">
              <w:rPr>
                <w:rFonts w:ascii="Arial" w:eastAsia="Times New Roman" w:hAnsi="Arial" w:cs="Arial"/>
                <w:color w:val="444746"/>
                <w:sz w:val="14"/>
                <w:szCs w:val="14"/>
                <w:vertAlign w:val="superscript"/>
                <w:lang w:eastAsia="en-IN"/>
              </w:rPr>
              <w:t>56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Institutionalizes extreme burnout. Causes severe union backlash (KITU), exacerbates mental health crises, and threatens long-term employee retention. Destroys work-life balance in cities already plagued by severe traffic.</w:t>
            </w:r>
            <w:r w:rsidRPr="005D6111">
              <w:rPr>
                <w:rFonts w:ascii="Arial" w:eastAsia="Times New Roman" w:hAnsi="Arial" w:cs="Arial"/>
                <w:color w:val="444746"/>
                <w:sz w:val="14"/>
                <w:szCs w:val="14"/>
                <w:vertAlign w:val="superscript"/>
                <w:lang w:eastAsia="en-IN"/>
              </w:rPr>
              <w:t>56</w:t>
            </w:r>
          </w:p>
        </w:tc>
      </w:tr>
    </w:tbl>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proposed Local Employment Reservation Bill generated massive condemnation from major industry bodies like NASSCOM and elite founders, who warned that forcing companies to hire based on 15-year state domicile and language proficiency testing rather than merit would severely stifle startups.</w:t>
      </w:r>
      <w:r w:rsidRPr="005D6111">
        <w:rPr>
          <w:rFonts w:ascii="Arial" w:eastAsia="Times New Roman" w:hAnsi="Arial" w:cs="Arial"/>
          <w:color w:val="444746"/>
          <w:sz w:val="14"/>
          <w:szCs w:val="14"/>
          <w:vertAlign w:val="superscript"/>
          <w:lang w:eastAsia="en-IN"/>
        </w:rPr>
        <w:t>50</w:t>
      </w:r>
      <w:r w:rsidRPr="005D6111">
        <w:rPr>
          <w:rFonts w:ascii="Arial" w:eastAsia="Times New Roman" w:hAnsi="Arial" w:cs="Arial"/>
          <w:color w:val="1F1F1F"/>
          <w:lang w:eastAsia="en-IN"/>
        </w:rPr>
        <w:t xml:space="preserve"> While the bill was temporarily paused due to the intense backlash, it remains a looming threat that destabilizes long-term geographic and talent planning.</w:t>
      </w:r>
      <w:r w:rsidRPr="005D6111">
        <w:rPr>
          <w:rFonts w:ascii="Arial" w:eastAsia="Times New Roman" w:hAnsi="Arial" w:cs="Arial"/>
          <w:color w:val="444746"/>
          <w:sz w:val="14"/>
          <w:szCs w:val="14"/>
          <w:vertAlign w:val="superscript"/>
          <w:lang w:eastAsia="en-IN"/>
        </w:rPr>
        <w:t>50</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Simultaneously, the proposed amendment to the Shops and Commercial Establishments Act to legalize 14-hour workdays fundamentally alters the structural dynamics of the IT workforce.</w:t>
      </w:r>
      <w:r w:rsidRPr="005D6111">
        <w:rPr>
          <w:rFonts w:ascii="Arial" w:eastAsia="Times New Roman" w:hAnsi="Arial" w:cs="Arial"/>
          <w:color w:val="444746"/>
          <w:sz w:val="14"/>
          <w:szCs w:val="14"/>
          <w:vertAlign w:val="superscript"/>
          <w:lang w:eastAsia="en-IN"/>
        </w:rPr>
        <w:t>56</w:t>
      </w:r>
      <w:r w:rsidRPr="005D6111">
        <w:rPr>
          <w:rFonts w:ascii="Arial" w:eastAsia="Times New Roman" w:hAnsi="Arial" w:cs="Arial"/>
          <w:color w:val="1F1F1F"/>
          <w:lang w:eastAsia="en-IN"/>
        </w:rPr>
        <w:t xml:space="preserve"> While purportedly designed to offer flexibility and appease global manufacturing giants like Foxconn and Apple (who aggressively lobbied for 12-hour factory shifts and nighttime work for women to mirror production lines in China and Vietnam), the application of this law to the IT services sector sparked outrage.</w:t>
      </w:r>
      <w:r w:rsidRPr="005D6111">
        <w:rPr>
          <w:rFonts w:ascii="Arial" w:eastAsia="Times New Roman" w:hAnsi="Arial" w:cs="Arial"/>
          <w:color w:val="444746"/>
          <w:sz w:val="14"/>
          <w:szCs w:val="14"/>
          <w:vertAlign w:val="superscript"/>
          <w:lang w:eastAsia="en-IN"/>
        </w:rPr>
        <w:t>61</w:t>
      </w:r>
      <w:r w:rsidRPr="005D6111">
        <w:rPr>
          <w:rFonts w:ascii="Arial" w:eastAsia="Times New Roman" w:hAnsi="Arial" w:cs="Arial"/>
          <w:color w:val="1F1F1F"/>
          <w:lang w:eastAsia="en-IN"/>
        </w:rPr>
        <w:t xml:space="preserve"> Tech unions (like KITU) argue that in an industry known for intense pressure, an "optional" 14-hour or 12-hour workday quickly becomes a mandatory cultural expectation, penalizing those who refuse and exponentially increasing the risk of widespread physiological burnout and lifestyle disorders.</w:t>
      </w:r>
      <w:r w:rsidRPr="005D6111">
        <w:rPr>
          <w:rFonts w:ascii="Arial" w:eastAsia="Times New Roman" w:hAnsi="Arial" w:cs="Arial"/>
          <w:color w:val="444746"/>
          <w:sz w:val="14"/>
          <w:szCs w:val="14"/>
          <w:vertAlign w:val="superscript"/>
          <w:lang w:eastAsia="en-IN"/>
        </w:rPr>
        <w:t>56</w:t>
      </w:r>
      <w:r w:rsidRPr="005D6111">
        <w:rPr>
          <w:rFonts w:ascii="Arial" w:eastAsia="Times New Roman" w:hAnsi="Arial" w:cs="Arial"/>
          <w:color w:val="1F1F1F"/>
          <w:lang w:eastAsia="en-IN"/>
        </w:rPr>
        <w:t xml:space="preserve"> This legislation effectively bureaucratizes controversial cultural comments previously made by industry veterans advocating for 70-hour work weeks, transforming cultural nostalgia into institutional precedent.</w:t>
      </w:r>
      <w:r w:rsidRPr="005D6111">
        <w:rPr>
          <w:rFonts w:ascii="Arial" w:eastAsia="Times New Roman" w:hAnsi="Arial" w:cs="Arial"/>
          <w:color w:val="444746"/>
          <w:sz w:val="14"/>
          <w:szCs w:val="14"/>
          <w:vertAlign w:val="superscript"/>
          <w:lang w:eastAsia="en-IN"/>
        </w:rPr>
        <w:t>57</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These contradictions highlight a vital third-order insight for business owners in 2026: regulatory risk is not solely about adhering to data privacy laws like GDPR or DPDP; it is about navigating the inherent tension between a government's desire for global macroeconomic dominance and its political need to appease localized, protectionist voting bases.</w:t>
      </w:r>
    </w:p>
    <w:p w:rsidR="005D6111" w:rsidRPr="005D6111" w:rsidRDefault="005D6111" w:rsidP="005D6111">
      <w:pPr>
        <w:spacing w:after="120" w:line="240" w:lineRule="auto"/>
        <w:outlineLvl w:val="1"/>
        <w:rPr>
          <w:rFonts w:ascii="Times New Roman" w:eastAsia="Times New Roman" w:hAnsi="Times New Roman" w:cs="Times New Roman"/>
          <w:b/>
          <w:bCs/>
          <w:sz w:val="36"/>
          <w:szCs w:val="36"/>
          <w:lang w:eastAsia="en-IN"/>
        </w:rPr>
      </w:pPr>
      <w:r w:rsidRPr="005D6111">
        <w:rPr>
          <w:rFonts w:ascii="Arial" w:eastAsia="Times New Roman" w:hAnsi="Arial" w:cs="Arial"/>
          <w:b/>
          <w:bCs/>
          <w:color w:val="1F1F1F"/>
          <w:sz w:val="36"/>
          <w:szCs w:val="36"/>
          <w:lang w:eastAsia="en-IN"/>
        </w:rPr>
        <w:t>Human Capital Fragility: The Gig Economy, Burnout, and Executive Retention</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compounding pressures of macroeconomic tightening, shifting VC expectations, regulatory chaos, and rapid AI integration have fundamentally rewired the global labor market, introducing severe human capital risks regarding retention, morale, and executive poaching.</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transition from a "growth-at-all-costs" philosophy to strict "capital discipline" has triggered a massive, sustained wave of global tech layoffs. Within the Indian startup ecosystem alone, over 4,500 jobs were eliminated across an eight-month period stretching into early 2026.</w:t>
      </w:r>
      <w:r w:rsidRPr="005D6111">
        <w:rPr>
          <w:rFonts w:ascii="Arial" w:eastAsia="Times New Roman" w:hAnsi="Arial" w:cs="Arial"/>
          <w:color w:val="444746"/>
          <w:sz w:val="14"/>
          <w:szCs w:val="14"/>
          <w:vertAlign w:val="superscript"/>
          <w:lang w:eastAsia="en-IN"/>
        </w:rPr>
        <w:t>40</w:t>
      </w:r>
      <w:r w:rsidRPr="005D6111">
        <w:rPr>
          <w:rFonts w:ascii="Arial" w:eastAsia="Times New Roman" w:hAnsi="Arial" w:cs="Arial"/>
          <w:color w:val="1F1F1F"/>
          <w:lang w:eastAsia="en-IN"/>
        </w:rPr>
        <w:t xml:space="preserve"> These layoffs were not predominantly driven by AI replacing human workers en masse, but rather by investors demanding stringent unit economics and clear paths to profitability prior to IPOs amidst a tighter funding environment.</w:t>
      </w:r>
      <w:r w:rsidRPr="005D6111">
        <w:rPr>
          <w:rFonts w:ascii="Arial" w:eastAsia="Times New Roman" w:hAnsi="Arial" w:cs="Arial"/>
          <w:color w:val="444746"/>
          <w:sz w:val="14"/>
          <w:szCs w:val="14"/>
          <w:vertAlign w:val="superscript"/>
          <w:lang w:eastAsia="en-IN"/>
        </w:rPr>
        <w:t>40</w:t>
      </w:r>
      <w:r w:rsidRPr="005D6111">
        <w:rPr>
          <w:rFonts w:ascii="Arial" w:eastAsia="Times New Roman" w:hAnsi="Arial" w:cs="Arial"/>
          <w:color w:val="1F1F1F"/>
          <w:lang w:eastAsia="en-IN"/>
        </w:rPr>
        <w:t xml:space="preserve"> Sectors spanning quick commerce (e.g., Zepto shedding 300 roles), logistics (e.g., Porter), gaming (e.g., Zupee cutting 370 roles), and traditional SaaS have shed massive headcount to extend their financial runways and survive macroeconomic volatility.</w:t>
      </w:r>
      <w:r w:rsidRPr="005D6111">
        <w:rPr>
          <w:rFonts w:ascii="Arial" w:eastAsia="Times New Roman" w:hAnsi="Arial" w:cs="Arial"/>
          <w:color w:val="444746"/>
          <w:sz w:val="14"/>
          <w:szCs w:val="14"/>
          <w:vertAlign w:val="superscript"/>
          <w:lang w:eastAsia="en-IN"/>
        </w:rPr>
        <w:t>40</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 xml:space="preserve">However, AI is definitively beginning to dictate the </w:t>
      </w:r>
      <w:r w:rsidRPr="005D6111">
        <w:rPr>
          <w:rFonts w:ascii="Arial" w:eastAsia="Times New Roman" w:hAnsi="Arial" w:cs="Arial"/>
          <w:i/>
          <w:iCs/>
          <w:color w:val="1F1F1F"/>
          <w:lang w:eastAsia="en-IN"/>
        </w:rPr>
        <w:t>structure</w:t>
      </w:r>
      <w:r w:rsidRPr="005D6111">
        <w:rPr>
          <w:rFonts w:ascii="Arial" w:eastAsia="Times New Roman" w:hAnsi="Arial" w:cs="Arial"/>
          <w:color w:val="1F1F1F"/>
          <w:lang w:eastAsia="en-IN"/>
        </w:rPr>
        <w:t xml:space="preserve"> of these newly lean organizations. Startups are no longer hiring aggressively across all general functions; they </w:t>
      </w:r>
      <w:r w:rsidRPr="005D6111">
        <w:rPr>
          <w:rFonts w:ascii="Arial" w:eastAsia="Times New Roman" w:hAnsi="Arial" w:cs="Arial"/>
          <w:color w:val="1F1F1F"/>
          <w:lang w:eastAsia="en-IN"/>
        </w:rPr>
        <w:lastRenderedPageBreak/>
        <w:t>are relying on automation for repetitive tasks and adding only highly specialized, incremental senior talent where strictly necessary.</w:t>
      </w:r>
      <w:r w:rsidRPr="005D6111">
        <w:rPr>
          <w:rFonts w:ascii="Arial" w:eastAsia="Times New Roman" w:hAnsi="Arial" w:cs="Arial"/>
          <w:color w:val="444746"/>
          <w:sz w:val="14"/>
          <w:szCs w:val="14"/>
          <w:vertAlign w:val="superscript"/>
          <w:lang w:eastAsia="en-IN"/>
        </w:rPr>
        <w:t>40</w:t>
      </w:r>
      <w:r w:rsidRPr="005D6111">
        <w:rPr>
          <w:rFonts w:ascii="Arial" w:eastAsia="Times New Roman" w:hAnsi="Arial" w:cs="Arial"/>
          <w:color w:val="1F1F1F"/>
          <w:lang w:eastAsia="en-IN"/>
        </w:rPr>
        <w:t xml:space="preserve"> For example, the home décor startup Livspace recently dismissed 1,000 employees specifically as part of a strategic pivot to redesign its workforce around AI-first operational models.</w:t>
      </w:r>
      <w:r w:rsidRPr="005D6111">
        <w:rPr>
          <w:rFonts w:ascii="Arial" w:eastAsia="Times New Roman" w:hAnsi="Arial" w:cs="Arial"/>
          <w:color w:val="444746"/>
          <w:sz w:val="14"/>
          <w:szCs w:val="14"/>
          <w:vertAlign w:val="superscript"/>
          <w:lang w:eastAsia="en-IN"/>
        </w:rPr>
        <w:t>40</w:t>
      </w:r>
      <w:r w:rsidRPr="005D6111">
        <w:rPr>
          <w:rFonts w:ascii="Arial" w:eastAsia="Times New Roman" w:hAnsi="Arial" w:cs="Arial"/>
          <w:color w:val="1F1F1F"/>
          <w:lang w:eastAsia="en-IN"/>
        </w:rPr>
        <w:t xml:space="preserve"> This structural shift creates a bifurcated labor market: an excess supply of generalist workers facing job insecurity, paired with a desperate, highly competitive shortage of talent skilled in human-AI collaboration, such as prompt engineering and algorithmic auditing.</w:t>
      </w:r>
      <w:r w:rsidRPr="005D6111">
        <w:rPr>
          <w:rFonts w:ascii="Arial" w:eastAsia="Times New Roman" w:hAnsi="Arial" w:cs="Arial"/>
          <w:color w:val="444746"/>
          <w:sz w:val="14"/>
          <w:szCs w:val="14"/>
          <w:vertAlign w:val="superscript"/>
          <w:lang w:eastAsia="en-IN"/>
        </w:rPr>
        <w:t>63</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This aggressive, continual reduction in headcount heavily impacts the morale and loyalty of remaining employees. In environments where six in ten companies plan further layoffs due to economic uncertainty, "survivor syndrome" takes deep root.</w:t>
      </w:r>
      <w:r w:rsidRPr="005D6111">
        <w:rPr>
          <w:rFonts w:ascii="Arial" w:eastAsia="Times New Roman" w:hAnsi="Arial" w:cs="Arial"/>
          <w:color w:val="444746"/>
          <w:sz w:val="14"/>
          <w:szCs w:val="14"/>
          <w:vertAlign w:val="superscript"/>
          <w:lang w:eastAsia="en-IN"/>
        </w:rPr>
        <w:t>63</w:t>
      </w:r>
      <w:r w:rsidRPr="005D6111">
        <w:rPr>
          <w:rFonts w:ascii="Arial" w:eastAsia="Times New Roman" w:hAnsi="Arial" w:cs="Arial"/>
          <w:color w:val="1F1F1F"/>
          <w:lang w:eastAsia="en-IN"/>
        </w:rPr>
        <w:t xml:space="preserve"> Remaining employees are burdened with expanding workloads without corresponding increases in compensation, leading directly to severe burnout.</w:t>
      </w:r>
      <w:r w:rsidRPr="005D6111">
        <w:rPr>
          <w:rFonts w:ascii="Arial" w:eastAsia="Times New Roman" w:hAnsi="Arial" w:cs="Arial"/>
          <w:color w:val="444746"/>
          <w:sz w:val="14"/>
          <w:szCs w:val="14"/>
          <w:vertAlign w:val="superscript"/>
          <w:lang w:eastAsia="en-IN"/>
        </w:rPr>
        <w:t>63</w:t>
      </w:r>
      <w:r w:rsidRPr="005D6111">
        <w:rPr>
          <w:rFonts w:ascii="Arial" w:eastAsia="Times New Roman" w:hAnsi="Arial" w:cs="Arial"/>
          <w:color w:val="1F1F1F"/>
          <w:lang w:eastAsia="en-IN"/>
        </w:rPr>
        <w:t xml:space="preserve"> Nearly 48% of workers cite overwhelming workloads as their primary grievance, a situation exacerbated by the blurred boundaries of remote and hybrid work environments where employees find it impossible to disconnect.</w:t>
      </w:r>
      <w:r w:rsidRPr="005D6111">
        <w:rPr>
          <w:rFonts w:ascii="Arial" w:eastAsia="Times New Roman" w:hAnsi="Arial" w:cs="Arial"/>
          <w:color w:val="444746"/>
          <w:sz w:val="14"/>
          <w:szCs w:val="14"/>
          <w:vertAlign w:val="superscript"/>
          <w:lang w:eastAsia="en-IN"/>
        </w:rPr>
        <w:t>63</w:t>
      </w:r>
      <w:r w:rsidRPr="005D6111">
        <w:rPr>
          <w:rFonts w:ascii="Arial" w:eastAsia="Times New Roman" w:hAnsi="Arial" w:cs="Arial"/>
          <w:color w:val="1F1F1F"/>
          <w:lang w:eastAsia="en-IN"/>
        </w:rPr>
        <w:t xml:space="preserve"> When this is coupled with regional legislative pushes for 14-hour workdays, the physiological limits of the workforce are severely tested.</w:t>
      </w:r>
      <w:r w:rsidRPr="005D6111">
        <w:rPr>
          <w:rFonts w:ascii="Arial" w:eastAsia="Times New Roman" w:hAnsi="Arial" w:cs="Arial"/>
          <w:color w:val="444746"/>
          <w:sz w:val="14"/>
          <w:szCs w:val="14"/>
          <w:vertAlign w:val="superscript"/>
          <w:lang w:eastAsia="en-IN"/>
        </w:rPr>
        <w:t>56</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Concurrently, the traditional employer-employee relationship is dissolving into the gig economy, fundamentally altering attraction and retention dynamics. By 2027, freelancers, gig workers, and crowd workers are projected to comprise the absolute majority of the workforce, with over 70.4 million Americans already participating in freelance structures as of early 2026.</w:t>
      </w:r>
      <w:r w:rsidRPr="005D6111">
        <w:rPr>
          <w:rFonts w:ascii="Arial" w:eastAsia="Times New Roman" w:hAnsi="Arial" w:cs="Arial"/>
          <w:color w:val="444746"/>
          <w:sz w:val="14"/>
          <w:szCs w:val="14"/>
          <w:vertAlign w:val="superscript"/>
          <w:lang w:eastAsia="en-IN"/>
        </w:rPr>
        <w:t>63</w:t>
      </w:r>
      <w:r w:rsidRPr="005D6111">
        <w:rPr>
          <w:rFonts w:ascii="Arial" w:eastAsia="Times New Roman" w:hAnsi="Arial" w:cs="Arial"/>
          <w:color w:val="1F1F1F"/>
          <w:lang w:eastAsia="en-IN"/>
        </w:rPr>
        <w:t xml:space="preserve"> Highly skilled workers are actively opting out of conventional employment, prioritizing the autonomy, variety, and perceived control offered by independent contracting.</w:t>
      </w:r>
      <w:r w:rsidRPr="005D6111">
        <w:rPr>
          <w:rFonts w:ascii="Arial" w:eastAsia="Times New Roman" w:hAnsi="Arial" w:cs="Arial"/>
          <w:color w:val="444746"/>
          <w:sz w:val="14"/>
          <w:szCs w:val="14"/>
          <w:vertAlign w:val="superscript"/>
          <w:lang w:eastAsia="en-IN"/>
        </w:rPr>
        <w:t>63</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This trend has profound implications for executive and senior-level retention. Organizations face a high risk of executive poaching, as talented leaders are lured by more stable environments or choose to transition into "Fractional CXO" roles.</w:t>
      </w:r>
      <w:r w:rsidRPr="005D6111">
        <w:rPr>
          <w:rFonts w:ascii="Arial" w:eastAsia="Times New Roman" w:hAnsi="Arial" w:cs="Arial"/>
          <w:color w:val="444746"/>
          <w:sz w:val="14"/>
          <w:szCs w:val="14"/>
          <w:vertAlign w:val="superscript"/>
          <w:lang w:eastAsia="en-IN"/>
        </w:rPr>
        <w:t>63</w:t>
      </w:r>
      <w:r w:rsidRPr="005D6111">
        <w:rPr>
          <w:rFonts w:ascii="Arial" w:eastAsia="Times New Roman" w:hAnsi="Arial" w:cs="Arial"/>
          <w:color w:val="1F1F1F"/>
          <w:lang w:eastAsia="en-IN"/>
        </w:rPr>
        <w:t xml:space="preserve"> Fractional executives offer their expertise to multiple startups simultaneously, insulating themselves from the binary risk of tying their financial fate to a single, highly volatile equity package.</w:t>
      </w:r>
      <w:r w:rsidRPr="005D6111">
        <w:rPr>
          <w:rFonts w:ascii="Arial" w:eastAsia="Times New Roman" w:hAnsi="Arial" w:cs="Arial"/>
          <w:color w:val="444746"/>
          <w:sz w:val="14"/>
          <w:szCs w:val="14"/>
          <w:vertAlign w:val="superscript"/>
          <w:lang w:eastAsia="en-IN"/>
        </w:rPr>
        <w:t>63</w:t>
      </w:r>
      <w:r w:rsidRPr="005D6111">
        <w:rPr>
          <w:rFonts w:ascii="Arial" w:eastAsia="Times New Roman" w:hAnsi="Arial" w:cs="Arial"/>
          <w:color w:val="1F1F1F"/>
          <w:lang w:eastAsia="en-IN"/>
        </w:rPr>
        <w:t xml:space="preserve"> As retention drops and executive tenure shortens, the loss of institutional memory and the continuous disruption of leadership continuity become systemic operational threats.</w:t>
      </w:r>
      <w:r w:rsidRPr="005D6111">
        <w:rPr>
          <w:rFonts w:ascii="Arial" w:eastAsia="Times New Roman" w:hAnsi="Arial" w:cs="Arial"/>
          <w:color w:val="444746"/>
          <w:sz w:val="14"/>
          <w:szCs w:val="14"/>
          <w:vertAlign w:val="superscript"/>
          <w:lang w:eastAsia="en-IN"/>
        </w:rPr>
        <w:t>63</w:t>
      </w:r>
      <w:r w:rsidRPr="005D6111">
        <w:rPr>
          <w:rFonts w:ascii="Arial" w:eastAsia="Times New Roman" w:hAnsi="Arial" w:cs="Arial"/>
          <w:color w:val="1F1F1F"/>
          <w:lang w:eastAsia="en-IN"/>
        </w:rPr>
        <w:t xml:space="preserve"> Consequently, retaining top talent (cited by 26% of leaders as a top priority) and enacting proactive succession planning strategies have escalated from standard administrative HR tasks to urgent, board-level survival imperatives.</w:t>
      </w:r>
      <w:r w:rsidRPr="005D6111">
        <w:rPr>
          <w:rFonts w:ascii="Arial" w:eastAsia="Times New Roman" w:hAnsi="Arial" w:cs="Arial"/>
          <w:color w:val="444746"/>
          <w:sz w:val="14"/>
          <w:szCs w:val="14"/>
          <w:vertAlign w:val="superscript"/>
          <w:lang w:eastAsia="en-IN"/>
        </w:rPr>
        <w:t>64</w:t>
      </w:r>
    </w:p>
    <w:p w:rsidR="005D6111" w:rsidRPr="005D6111" w:rsidRDefault="005D6111" w:rsidP="005D6111">
      <w:pPr>
        <w:spacing w:after="120" w:line="240" w:lineRule="auto"/>
        <w:outlineLvl w:val="1"/>
        <w:rPr>
          <w:rFonts w:ascii="Times New Roman" w:eastAsia="Times New Roman" w:hAnsi="Times New Roman" w:cs="Times New Roman"/>
          <w:b/>
          <w:bCs/>
          <w:sz w:val="36"/>
          <w:szCs w:val="36"/>
          <w:lang w:eastAsia="en-IN"/>
        </w:rPr>
      </w:pPr>
      <w:r w:rsidRPr="005D6111">
        <w:rPr>
          <w:rFonts w:ascii="Arial" w:eastAsia="Times New Roman" w:hAnsi="Arial" w:cs="Arial"/>
          <w:b/>
          <w:bCs/>
          <w:color w:val="1F1F1F"/>
          <w:sz w:val="36"/>
          <w:szCs w:val="36"/>
          <w:lang w:eastAsia="en-IN"/>
        </w:rPr>
        <w:t>Strategic Risk Mitigation: The Pre-Mortem and FROS Frameworks</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Given the immense complexity of these overlapping financial, cyber, regulatory, and human capital risks, traditional, reactive risk management is insufficient. Venture capitalists and elite founders have increasingly adopted structured, proactive methodologies to identify and neutralize threats before they manifest, specifically utilizing the Pre-Mortem analysis and the FROS framework.</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A Pre-Mortem analysis is a psychological inversion of traditional strategic planning.</w:t>
      </w:r>
      <w:r w:rsidRPr="005D6111">
        <w:rPr>
          <w:rFonts w:ascii="Arial" w:eastAsia="Times New Roman" w:hAnsi="Arial" w:cs="Arial"/>
          <w:color w:val="444746"/>
          <w:sz w:val="14"/>
          <w:szCs w:val="14"/>
          <w:vertAlign w:val="superscript"/>
          <w:lang w:eastAsia="en-IN"/>
        </w:rPr>
        <w:t>65</w:t>
      </w:r>
      <w:r w:rsidRPr="005D6111">
        <w:rPr>
          <w:rFonts w:ascii="Arial" w:eastAsia="Times New Roman" w:hAnsi="Arial" w:cs="Arial"/>
          <w:color w:val="1F1F1F"/>
          <w:lang w:eastAsia="en-IN"/>
        </w:rPr>
        <w:t xml:space="preserve"> Rather than projecting optimistic growth scenarios, the executive team—comprising diverse members from finance, operations, product, and the founding group—is asked to assume a hypothetical scenario: “Imagine it is 18 months from now. Our startup has failed completely. What went wrong?”.</w:t>
      </w:r>
      <w:r w:rsidRPr="005D6111">
        <w:rPr>
          <w:rFonts w:ascii="Arial" w:eastAsia="Times New Roman" w:hAnsi="Arial" w:cs="Arial"/>
          <w:color w:val="444746"/>
          <w:sz w:val="14"/>
          <w:szCs w:val="14"/>
          <w:vertAlign w:val="superscript"/>
          <w:lang w:eastAsia="en-IN"/>
        </w:rPr>
        <w:t>65</w:t>
      </w:r>
      <w:r w:rsidRPr="005D6111">
        <w:rPr>
          <w:rFonts w:ascii="Arial" w:eastAsia="Times New Roman" w:hAnsi="Arial" w:cs="Arial"/>
          <w:color w:val="1F1F1F"/>
          <w:lang w:eastAsia="en-IN"/>
        </w:rPr>
        <w:t xml:space="preserve"> By mandating realism over optimism, this exercise bypasses cognitive biases and uncovers hidden vulnerabilities. Data aggregated from CB Insights reveals that these analyses primarily uncover existential threats related to cash flow exhaustion (responsible for 38% of failures), aggressive market competition (20%), and regulatory non-compliance (18%).</w:t>
      </w:r>
      <w:r w:rsidRPr="005D6111">
        <w:rPr>
          <w:rFonts w:ascii="Arial" w:eastAsia="Times New Roman" w:hAnsi="Arial" w:cs="Arial"/>
          <w:color w:val="444746"/>
          <w:sz w:val="14"/>
          <w:szCs w:val="14"/>
          <w:vertAlign w:val="superscript"/>
          <w:lang w:eastAsia="en-IN"/>
        </w:rPr>
        <w:t>65</w:t>
      </w:r>
      <w:r w:rsidRPr="005D6111">
        <w:rPr>
          <w:rFonts w:ascii="Arial" w:eastAsia="Times New Roman" w:hAnsi="Arial" w:cs="Arial"/>
          <w:color w:val="1F1F1F"/>
          <w:lang w:eastAsia="en-IN"/>
        </w:rPr>
        <w:t xml:space="preserve"> Other critical warning signs, such as dismissing customer feedback, </w:t>
      </w:r>
      <w:r w:rsidRPr="005D6111">
        <w:rPr>
          <w:rFonts w:ascii="Arial" w:eastAsia="Times New Roman" w:hAnsi="Arial" w:cs="Arial"/>
          <w:color w:val="1F1F1F"/>
          <w:lang w:eastAsia="en-IN"/>
        </w:rPr>
        <w:lastRenderedPageBreak/>
        <w:t>maintaining an unclear value proposition, or harboring undifferentiated offerings, are also flushed out during these sessions.</w:t>
      </w:r>
      <w:r w:rsidRPr="005D6111">
        <w:rPr>
          <w:rFonts w:ascii="Arial" w:eastAsia="Times New Roman" w:hAnsi="Arial" w:cs="Arial"/>
          <w:color w:val="444746"/>
          <w:sz w:val="14"/>
          <w:szCs w:val="14"/>
          <w:vertAlign w:val="superscript"/>
          <w:lang w:eastAsia="en-IN"/>
        </w:rPr>
        <w:t>65</w:t>
      </w:r>
      <w:r w:rsidRPr="005D6111">
        <w:rPr>
          <w:rFonts w:ascii="Arial" w:eastAsia="Times New Roman" w:hAnsi="Arial" w:cs="Arial"/>
          <w:color w:val="1F1F1F"/>
          <w:lang w:eastAsia="en-IN"/>
        </w:rPr>
        <w:t xml:space="preserve"> By categorizing these risks and assigning specific mitigation owners before the crisis occurs, companies project strategic maturity, thereby significantly increasing investor confidence during VC due diligence processes.</w:t>
      </w:r>
      <w:r w:rsidRPr="005D6111">
        <w:rPr>
          <w:rFonts w:ascii="Arial" w:eastAsia="Times New Roman" w:hAnsi="Arial" w:cs="Arial"/>
          <w:color w:val="444746"/>
          <w:sz w:val="14"/>
          <w:szCs w:val="14"/>
          <w:vertAlign w:val="superscript"/>
          <w:lang w:eastAsia="en-IN"/>
        </w:rPr>
        <w:t>65</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To operationalize the findings of a Pre-Mortem, enterprises employ the FROS framework: Map Exposure, Quantify Likelihood, Assign Owners, and Automate Signals.</w:t>
      </w:r>
      <w:r w:rsidRPr="005D6111">
        <w:rPr>
          <w:rFonts w:ascii="Arial" w:eastAsia="Times New Roman" w:hAnsi="Arial" w:cs="Arial"/>
          <w:color w:val="444746"/>
          <w:sz w:val="14"/>
          <w:szCs w:val="14"/>
          <w:vertAlign w:val="superscript"/>
          <w:lang w:eastAsia="en-IN"/>
        </w:rPr>
        <w:t>66</w:t>
      </w:r>
    </w:p>
    <w:p w:rsidR="005D6111" w:rsidRPr="005D6111" w:rsidRDefault="005D6111" w:rsidP="005D6111">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865"/>
        <w:gridCol w:w="3007"/>
        <w:gridCol w:w="4138"/>
      </w:tblGrid>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FROS Framework Stage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Strategic Objective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Implementation Examples in a Startup Environment</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1. Map Exposure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Systematically identify core vulnerabilities across people, systems, and compliance networks.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Documenting key-person dependencies among founders, assessing cloud infrastructure resilience, mapping third-party vendor risks and supply chain opacity.</w:t>
            </w:r>
            <w:r w:rsidRPr="005D6111">
              <w:rPr>
                <w:rFonts w:ascii="Arial" w:eastAsia="Times New Roman" w:hAnsi="Arial" w:cs="Arial"/>
                <w:color w:val="444746"/>
                <w:sz w:val="14"/>
                <w:szCs w:val="14"/>
                <w:vertAlign w:val="superscript"/>
                <w:lang w:eastAsia="en-IN"/>
              </w:rPr>
              <w:t>66</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2. Quantify Likelihood &amp; Impact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Score each identified risk based on its financial impact and probability of occurrence.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Conducting scenario planning for sudden localized regulatory changes (e.g., local hiring quotas) or supply chain embargoes.</w:t>
            </w:r>
            <w:r w:rsidRPr="005D6111">
              <w:rPr>
                <w:rFonts w:ascii="Arial" w:eastAsia="Times New Roman" w:hAnsi="Arial" w:cs="Arial"/>
                <w:color w:val="444746"/>
                <w:sz w:val="14"/>
                <w:szCs w:val="14"/>
                <w:vertAlign w:val="superscript"/>
                <w:lang w:eastAsia="en-IN"/>
              </w:rPr>
              <w:t>66</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3. Assign Risk Owners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Designate specific executives legally and operationally responsible for distinct threat vectors.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CFO managing cash flow aging and revenue reconciliation; the CTO owning cybersecurity logging, Agentic AI defense, and vendor system audits.</w:t>
            </w:r>
            <w:r w:rsidRPr="005D6111">
              <w:rPr>
                <w:rFonts w:ascii="Arial" w:eastAsia="Times New Roman" w:hAnsi="Arial" w:cs="Arial"/>
                <w:color w:val="444746"/>
                <w:sz w:val="14"/>
                <w:szCs w:val="14"/>
                <w:vertAlign w:val="superscript"/>
                <w:lang w:eastAsia="en-IN"/>
              </w:rPr>
              <w:t>66</w:t>
            </w:r>
          </w:p>
        </w:tc>
      </w:tr>
      <w:tr w:rsidR="005D6111" w:rsidRPr="005D6111" w:rsidTr="005D611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b/>
                <w:bCs/>
                <w:color w:val="1F1F1F"/>
                <w:lang w:eastAsia="en-IN"/>
              </w:rPr>
              <w:t>4. Automate Monitoring Signals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before="120" w:after="12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Surface early warning signals through continuous telemetry to prevent manual oversight failures.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D6111" w:rsidRPr="005D6111" w:rsidRDefault="005D6111" w:rsidP="005D6111">
            <w:pPr>
              <w:spacing w:after="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Implementing real-time financial runway forecasting dashboards, automated compliance deadline alerts, and centralized security threat logging.</w:t>
            </w:r>
            <w:r w:rsidRPr="005D6111">
              <w:rPr>
                <w:rFonts w:ascii="Arial" w:eastAsia="Times New Roman" w:hAnsi="Arial" w:cs="Arial"/>
                <w:color w:val="444746"/>
                <w:sz w:val="14"/>
                <w:szCs w:val="14"/>
                <w:vertAlign w:val="superscript"/>
                <w:lang w:eastAsia="en-IN"/>
              </w:rPr>
              <w:t>66</w:t>
            </w:r>
          </w:p>
        </w:tc>
      </w:tr>
    </w:tbl>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By implementing FROS, risk management shifts from a static quarterly review to a continuous, automated operational protocol, ensuring that vulnerabilities are tracked and mitigated in real-time.</w:t>
      </w:r>
      <w:r w:rsidRPr="005D6111">
        <w:rPr>
          <w:rFonts w:ascii="Arial" w:eastAsia="Times New Roman" w:hAnsi="Arial" w:cs="Arial"/>
          <w:color w:val="444746"/>
          <w:sz w:val="14"/>
          <w:szCs w:val="14"/>
          <w:vertAlign w:val="superscript"/>
          <w:lang w:eastAsia="en-IN"/>
        </w:rPr>
        <w:t>66</w:t>
      </w:r>
    </w:p>
    <w:p w:rsidR="005D6111" w:rsidRPr="005D6111" w:rsidRDefault="005D6111" w:rsidP="005D6111">
      <w:pPr>
        <w:spacing w:after="120" w:line="240" w:lineRule="auto"/>
        <w:outlineLvl w:val="1"/>
        <w:rPr>
          <w:rFonts w:ascii="Times New Roman" w:eastAsia="Times New Roman" w:hAnsi="Times New Roman" w:cs="Times New Roman"/>
          <w:b/>
          <w:bCs/>
          <w:sz w:val="36"/>
          <w:szCs w:val="36"/>
          <w:lang w:eastAsia="en-IN"/>
        </w:rPr>
      </w:pPr>
      <w:r w:rsidRPr="005D6111">
        <w:rPr>
          <w:rFonts w:ascii="Arial" w:eastAsia="Times New Roman" w:hAnsi="Arial" w:cs="Arial"/>
          <w:b/>
          <w:bCs/>
          <w:color w:val="1F1F1F"/>
          <w:sz w:val="36"/>
          <w:szCs w:val="36"/>
          <w:lang w:eastAsia="en-IN"/>
        </w:rPr>
        <w:t>Conclusion</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The business risk environment of 2026 is unforgiving to entities that operate with linear, siloed risk management frameworks. The era of masking poor unit economics, interpersonal toxicity, or technical deficiencies with abundant venture capital has definitively closed. Survival in this decade necessitates an integrated, holistic approach to enterprise vulnerability.</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 xml:space="preserve">Founders must recognize that statistical failure is the default trajectory, driven fundamentally by premature scaling, the costly illusion of product-market fit, and fatal interpersonal conflicts within the founding team. Mitigating these endogenous risks requires robust legal frameworks to prevent dead equity, strict attention to dilution mechanisms during capital </w:t>
      </w:r>
      <w:r w:rsidRPr="005D6111">
        <w:rPr>
          <w:rFonts w:ascii="Arial" w:eastAsia="Times New Roman" w:hAnsi="Arial" w:cs="Arial"/>
          <w:color w:val="1F1F1F"/>
          <w:lang w:eastAsia="en-IN"/>
        </w:rPr>
        <w:lastRenderedPageBreak/>
        <w:t>formation, and the psychological maturity to implement rigorous Pre-Mortem analyses and continuous FROS monitoring.</w:t>
      </w:r>
    </w:p>
    <w:p w:rsidR="005D6111" w:rsidRPr="005D6111" w:rsidRDefault="005D6111" w:rsidP="005D6111">
      <w:pPr>
        <w:spacing w:after="240"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Externally, the velocity of AI-driven cyber threats demands an immediate pivot from outdated perimeter defense to continuous, AI-augmented resilience and Algorithmic Transparency. Macroeconomically, organizations must absorb the intense margin compression triggered by global tariffs and geopolitical fragmentation by radically redesigning their supply chains for transparency and optionality. Furthermore, as regional governments deploy highly contradictory policies—simultaneously incentivizing deep tech innovation while enforcing protectionist labor mandates and extreme working hours—businesses must remain geographically agile, legally fortified, and deeply protective of their human capital.</w:t>
      </w:r>
    </w:p>
    <w:p w:rsidR="005D6111" w:rsidRPr="005D6111" w:rsidRDefault="005D6111" w:rsidP="005D6111">
      <w:pPr>
        <w:spacing w:after="255" w:line="240" w:lineRule="auto"/>
        <w:rPr>
          <w:rFonts w:ascii="Times New Roman" w:eastAsia="Times New Roman" w:hAnsi="Times New Roman" w:cs="Times New Roman"/>
          <w:sz w:val="24"/>
          <w:szCs w:val="24"/>
          <w:lang w:eastAsia="en-IN"/>
        </w:rPr>
      </w:pPr>
      <w:r w:rsidRPr="005D6111">
        <w:rPr>
          <w:rFonts w:ascii="Arial" w:eastAsia="Times New Roman" w:hAnsi="Arial" w:cs="Arial"/>
          <w:color w:val="1F1F1F"/>
          <w:lang w:eastAsia="en-IN"/>
        </w:rPr>
        <w:t>Ultimately, competitive advantage and long-term enterprise value in 2026 do not belong to the organization with the most aggressive growth targets, but to the entity that exhibits the highest degree of capital discipline, technological authenticity, and structural resilience in the face of continuous, multi-vector disruption.</w:t>
      </w:r>
    </w:p>
    <w:p w:rsidR="005D6111" w:rsidRPr="005D6111" w:rsidRDefault="005D6111" w:rsidP="005D6111">
      <w:pPr>
        <w:spacing w:after="255" w:line="240" w:lineRule="auto"/>
        <w:outlineLvl w:val="3"/>
        <w:rPr>
          <w:rFonts w:ascii="Times New Roman" w:eastAsia="Times New Roman" w:hAnsi="Times New Roman" w:cs="Times New Roman"/>
          <w:b/>
          <w:bCs/>
          <w:sz w:val="24"/>
          <w:szCs w:val="24"/>
          <w:lang w:eastAsia="en-IN"/>
        </w:rPr>
      </w:pPr>
      <w:r w:rsidRPr="005D6111">
        <w:rPr>
          <w:rFonts w:ascii="Arial" w:eastAsia="Times New Roman" w:hAnsi="Arial" w:cs="Arial"/>
          <w:b/>
          <w:bCs/>
          <w:color w:val="000000"/>
          <w:sz w:val="24"/>
          <w:szCs w:val="24"/>
          <w:lang w:eastAsia="en-IN"/>
        </w:rPr>
        <w:t>Works cited</w:t>
      </w:r>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Startup Failure Rate: How Many Startups Fail and Why in 2026? - Failory, accessed on April 14, 2026, </w:t>
      </w:r>
      <w:hyperlink r:id="rId5" w:history="1">
        <w:r w:rsidRPr="005D6111">
          <w:rPr>
            <w:rFonts w:ascii="Arial" w:eastAsia="Times New Roman" w:hAnsi="Arial" w:cs="Arial"/>
            <w:color w:val="0000EE"/>
            <w:sz w:val="24"/>
            <w:szCs w:val="24"/>
            <w:u w:val="single"/>
            <w:lang w:eastAsia="en-IN"/>
          </w:rPr>
          <w:t>https://www.failory.com/blog/startup-failure-rate</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The Ultimate Startup Guide With Statistics (2024–2025) - Founders Forum Group, accessed on April 14, 2026, </w:t>
      </w:r>
      <w:hyperlink r:id="rId6" w:history="1">
        <w:r w:rsidRPr="005D6111">
          <w:rPr>
            <w:rFonts w:ascii="Arial" w:eastAsia="Times New Roman" w:hAnsi="Arial" w:cs="Arial"/>
            <w:color w:val="0000EE"/>
            <w:sz w:val="24"/>
            <w:szCs w:val="24"/>
            <w:u w:val="single"/>
            <w:lang w:eastAsia="en-IN"/>
          </w:rPr>
          <w:t>https://ff.co/startup-statistics-guide/</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I analyzed 20 failed startups across different industries. The patterns were uncomfortable. : r/SaaS - Reddit, accessed on April 14, 2026, </w:t>
      </w:r>
      <w:hyperlink r:id="rId7" w:history="1">
        <w:r w:rsidRPr="005D6111">
          <w:rPr>
            <w:rFonts w:ascii="Arial" w:eastAsia="Times New Roman" w:hAnsi="Arial" w:cs="Arial"/>
            <w:color w:val="0000EE"/>
            <w:sz w:val="24"/>
            <w:szCs w:val="24"/>
            <w:u w:val="single"/>
            <w:lang w:eastAsia="en-IN"/>
          </w:rPr>
          <w:t>https://www.reddit.com/r/SaaS/comments/1qql9yz/i_analyzed_20_failed_startups_across_different/</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Top Startup Failure Database 2026: 250+ Cases &amp; $150B+ Lost | IdeaProof, accessed on April 14, 2026, </w:t>
      </w:r>
      <w:hyperlink r:id="rId8" w:history="1">
        <w:r w:rsidRPr="005D6111">
          <w:rPr>
            <w:rFonts w:ascii="Arial" w:eastAsia="Times New Roman" w:hAnsi="Arial" w:cs="Arial"/>
            <w:color w:val="0000EE"/>
            <w:sz w:val="24"/>
            <w:szCs w:val="24"/>
            <w:u w:val="single"/>
            <w:lang w:eastAsia="en-IN"/>
          </w:rPr>
          <w:t>https://ideaproof.io/startup-failure-database</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Top 35 Startup Failure Rate Statistics Worth Knowing In 2026 - Digital Silk, accessed on April 14, 2026, </w:t>
      </w:r>
      <w:hyperlink r:id="rId9" w:history="1">
        <w:r w:rsidRPr="005D6111">
          <w:rPr>
            <w:rFonts w:ascii="Arial" w:eastAsia="Times New Roman" w:hAnsi="Arial" w:cs="Arial"/>
            <w:color w:val="0000EE"/>
            <w:sz w:val="24"/>
            <w:szCs w:val="24"/>
            <w:u w:val="single"/>
            <w:lang w:eastAsia="en-IN"/>
          </w:rPr>
          <w:t>https://www.digitalsilk.com/digital-trends/startup-failure-rate-statistics/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The Biggest Startup Failures of 2025: Fake AI, Failed EVs, and ..., accessed on April 14, 2026, </w:t>
      </w:r>
      <w:hyperlink r:id="rId10" w:history="1">
        <w:r w:rsidRPr="005D6111">
          <w:rPr>
            <w:rFonts w:ascii="Arial" w:eastAsia="Times New Roman" w:hAnsi="Arial" w:cs="Arial"/>
            <w:color w:val="0000EE"/>
            <w:sz w:val="24"/>
            <w:szCs w:val="24"/>
            <w:u w:val="single"/>
            <w:lang w:eastAsia="en-IN"/>
          </w:rPr>
          <w:t>https://www.wearefounders.uk/top-10-startup-failures-of-2025-so-far/</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From Idea to MVP: The Strategic 2026 Guide for Startup Founders - Presta, accessed on April 14, 2026, </w:t>
      </w:r>
      <w:hyperlink r:id="rId11" w:history="1">
        <w:r w:rsidRPr="005D6111">
          <w:rPr>
            <w:rFonts w:ascii="Arial" w:eastAsia="Times New Roman" w:hAnsi="Arial" w:cs="Arial"/>
            <w:color w:val="0000EE"/>
            <w:sz w:val="24"/>
            <w:szCs w:val="24"/>
            <w:u w:val="single"/>
            <w:lang w:eastAsia="en-IN"/>
          </w:rPr>
          <w:t>https://wearepresta.com/from-idea-to-mvp-the-strategic-2026-guide-for-startup-founders/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Autopsy of a Dead Startup: 5 Key Learnings From a Failed Business - Crunchbase, accessed on April 14, 2026, </w:t>
      </w:r>
      <w:hyperlink r:id="rId12" w:history="1">
        <w:r w:rsidRPr="005D6111">
          <w:rPr>
            <w:rFonts w:ascii="Arial" w:eastAsia="Times New Roman" w:hAnsi="Arial" w:cs="Arial"/>
            <w:color w:val="0000EE"/>
            <w:sz w:val="24"/>
            <w:szCs w:val="24"/>
            <w:u w:val="single"/>
            <w:lang w:eastAsia="en-IN"/>
          </w:rPr>
          <w:t>https://about.crunchbase.com/blog/failed-business-startup</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Developing a Risk Management Strategy for Venture Capital Investing - Financial Models Lab, accessed on April 14, 2026, </w:t>
      </w:r>
      <w:hyperlink r:id="rId13" w:history="1">
        <w:r w:rsidRPr="005D6111">
          <w:rPr>
            <w:rFonts w:ascii="Arial" w:eastAsia="Times New Roman" w:hAnsi="Arial" w:cs="Arial"/>
            <w:color w:val="0000EE"/>
            <w:sz w:val="24"/>
            <w:szCs w:val="24"/>
            <w:u w:val="single"/>
            <w:lang w:eastAsia="en-IN"/>
          </w:rPr>
          <w:t>https://financialmodelslab.com/blogs/blog/risk-management-strategy-venture-capital-investing</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Stages of venture capital - Silicon Valley Bank, accessed on April 14, 2026, </w:t>
      </w:r>
      <w:hyperlink r:id="rId14" w:history="1">
        <w:r w:rsidRPr="005D6111">
          <w:rPr>
            <w:rFonts w:ascii="Arial" w:eastAsia="Times New Roman" w:hAnsi="Arial" w:cs="Arial"/>
            <w:color w:val="0000EE"/>
            <w:sz w:val="24"/>
            <w:szCs w:val="24"/>
            <w:u w:val="single"/>
            <w:lang w:eastAsia="en-IN"/>
          </w:rPr>
          <w:t>https://www.svb.com/startup-insights/vc-relations/stages-of-venture-capital/</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Startup Funding Benchmarks &amp; Requirements - Founder Institute, accessed on April 14, 2026, </w:t>
      </w:r>
      <w:hyperlink r:id="rId15" w:history="1">
        <w:r w:rsidRPr="005D6111">
          <w:rPr>
            <w:rFonts w:ascii="Arial" w:eastAsia="Times New Roman" w:hAnsi="Arial" w:cs="Arial"/>
            <w:color w:val="0000EE"/>
            <w:sz w:val="24"/>
            <w:szCs w:val="24"/>
            <w:u w:val="single"/>
            <w:lang w:eastAsia="en-IN"/>
          </w:rPr>
          <w:t>https://fi.co/benchmarks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q4-2025-pitchbook-nvca-venture-monitor.pdf, accessed on April 14, 2026, </w:t>
      </w:r>
      <w:hyperlink r:id="rId16" w:history="1">
        <w:r w:rsidRPr="005D6111">
          <w:rPr>
            <w:rFonts w:ascii="Arial" w:eastAsia="Times New Roman" w:hAnsi="Arial" w:cs="Arial"/>
            <w:color w:val="0000EE"/>
            <w:sz w:val="24"/>
            <w:szCs w:val="24"/>
            <w:u w:val="single"/>
            <w:lang w:eastAsia="en-IN"/>
          </w:rPr>
          <w:t>https://nvca.org/wp-content/uploads/2026/01/q4-2025-pitchbook-nvca-venture-monitor.pdf</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lastRenderedPageBreak/>
        <w:t xml:space="preserve">SAFE Agreements for Startups (2026 Guide) - CRV, accessed on April 14, 2026, </w:t>
      </w:r>
      <w:hyperlink r:id="rId17" w:history="1">
        <w:r w:rsidRPr="005D6111">
          <w:rPr>
            <w:rFonts w:ascii="Arial" w:eastAsia="Times New Roman" w:hAnsi="Arial" w:cs="Arial"/>
            <w:color w:val="0000EE"/>
            <w:sz w:val="24"/>
            <w:szCs w:val="24"/>
            <w:u w:val="single"/>
            <w:lang w:eastAsia="en-IN"/>
          </w:rPr>
          <w:t>https://www.crv.com/content/safe-agreements-for-startups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California Venture Capital Diversity Reporting 2026: Compliance Guide for Venture Capital Firms - Waystone Compliance, accessed on April 14, 2026, </w:t>
      </w:r>
      <w:hyperlink r:id="rId18" w:history="1">
        <w:r w:rsidRPr="005D6111">
          <w:rPr>
            <w:rFonts w:ascii="Arial" w:eastAsia="Times New Roman" w:hAnsi="Arial" w:cs="Arial"/>
            <w:color w:val="0000EE"/>
            <w:sz w:val="24"/>
            <w:szCs w:val="24"/>
            <w:u w:val="single"/>
            <w:lang w:eastAsia="en-IN"/>
          </w:rPr>
          <w:t>https://compliance.waystone.com/california-venture-capital-diversity-reporting-2026-compliance-guide-for-venture-capital-firms/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Venture capital outlook for 2026: 5 key trends - Wellington Management, accessed on April 14, 2026, </w:t>
      </w:r>
      <w:hyperlink r:id="rId19" w:history="1">
        <w:r w:rsidRPr="005D6111">
          <w:rPr>
            <w:rFonts w:ascii="Arial" w:eastAsia="Times New Roman" w:hAnsi="Arial" w:cs="Arial"/>
            <w:color w:val="0000EE"/>
            <w:sz w:val="24"/>
            <w:szCs w:val="24"/>
            <w:u w:val="single"/>
            <w:lang w:eastAsia="en-IN"/>
          </w:rPr>
          <w:t>https://www.wellington.com/en/insights/venture-capital-outlook</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Emerging Manager Venture Capital: The Complete Guide for 2026 - VC Lab, accessed on April 14, 2026, </w:t>
      </w:r>
      <w:hyperlink r:id="rId20" w:history="1">
        <w:r w:rsidRPr="005D6111">
          <w:rPr>
            <w:rFonts w:ascii="Arial" w:eastAsia="Times New Roman" w:hAnsi="Arial" w:cs="Arial"/>
            <w:color w:val="0000EE"/>
            <w:sz w:val="24"/>
            <w:szCs w:val="24"/>
            <w:u w:val="single"/>
            <w:lang w:eastAsia="en-IN"/>
          </w:rPr>
          <w:t>https://govclab.com/2026/03/25/emerging-manager-venture-capital-the-complete-guide-for-2026/</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Save Your Startup: How Mediation Can Resolve Co-Founder Disagreements, accessed on April 14, 2026, </w:t>
      </w:r>
      <w:hyperlink r:id="rId21" w:history="1">
        <w:r w:rsidRPr="005D6111">
          <w:rPr>
            <w:rFonts w:ascii="Arial" w:eastAsia="Times New Roman" w:hAnsi="Arial" w:cs="Arial"/>
            <w:color w:val="0000EE"/>
            <w:sz w:val="24"/>
            <w:szCs w:val="24"/>
            <w:u w:val="single"/>
            <w:lang w:eastAsia="en-IN"/>
          </w:rPr>
          <w:t>https://bryantgalindo.medium.com/save-your-startup-how-mediation-can-resolve-co-founder-disagreements-e1effec25b95</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How To Navigate Co-Founder Disputes : YC Startup Library | Y ..., accessed on April 14, 2026, </w:t>
      </w:r>
      <w:hyperlink r:id="rId22" w:history="1">
        <w:r w:rsidRPr="005D6111">
          <w:rPr>
            <w:rFonts w:ascii="Arial" w:eastAsia="Times New Roman" w:hAnsi="Arial" w:cs="Arial"/>
            <w:color w:val="0000EE"/>
            <w:sz w:val="24"/>
            <w:szCs w:val="24"/>
            <w:u w:val="single"/>
            <w:lang w:eastAsia="en-IN"/>
          </w:rPr>
          <w:t>https://www.ycombinator.com/library/MI-how-to-navigate-co-founder-disputes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The Real Reason Cofounders Fight—And How to Fix Them, accessed on April 14, 2026, </w:t>
      </w:r>
      <w:hyperlink r:id="rId23" w:history="1">
        <w:r w:rsidRPr="005D6111">
          <w:rPr>
            <w:rFonts w:ascii="Arial" w:eastAsia="Times New Roman" w:hAnsi="Arial" w:cs="Arial"/>
            <w:color w:val="0000EE"/>
            <w:sz w:val="24"/>
            <w:szCs w:val="24"/>
            <w:u w:val="single"/>
            <w:lang w:eastAsia="en-IN"/>
          </w:rPr>
          <w:t>https://cofounderclarity.com/founder-therapy-blog/how-to-identify-and-fix-the-9-core-causes-of-cofounder-conflict</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How to Draft Founder Agreements That Prevent Disputes and Protect Relationships (2026), accessed on April 14, 2026, </w:t>
      </w:r>
      <w:hyperlink r:id="rId24" w:history="1">
        <w:r w:rsidRPr="005D6111">
          <w:rPr>
            <w:rFonts w:ascii="Arial" w:eastAsia="Times New Roman" w:hAnsi="Arial" w:cs="Arial"/>
            <w:color w:val="0000EE"/>
            <w:sz w:val="24"/>
            <w:szCs w:val="24"/>
            <w:u w:val="single"/>
            <w:lang w:eastAsia="en-IN"/>
          </w:rPr>
          <w:t>https://rivereditor.com/guides/how-to-draft-founder-agreements-2026</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Founders' Agreement Overview - University of Pennsylvania Carey Law School, accessed on April 14, 2026, </w:t>
      </w:r>
      <w:hyperlink r:id="rId25" w:history="1">
        <w:r w:rsidRPr="005D6111">
          <w:rPr>
            <w:rFonts w:ascii="Arial" w:eastAsia="Times New Roman" w:hAnsi="Arial" w:cs="Arial"/>
            <w:color w:val="0000EE"/>
            <w:sz w:val="24"/>
            <w:szCs w:val="24"/>
            <w:u w:val="single"/>
            <w:lang w:eastAsia="en-IN"/>
          </w:rPr>
          <w:t>https://www.law.upenn.edu/clinic/entrepreneurship/startupkit/founders-agreement.pdf</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How to Build a Founder Agreement: The Full Guide - Yousign, accessed on April 14, 2026, </w:t>
      </w:r>
      <w:hyperlink r:id="rId26" w:history="1">
        <w:r w:rsidRPr="005D6111">
          <w:rPr>
            <w:rFonts w:ascii="Arial" w:eastAsia="Times New Roman" w:hAnsi="Arial" w:cs="Arial"/>
            <w:color w:val="0000EE"/>
            <w:sz w:val="24"/>
            <w:szCs w:val="24"/>
            <w:u w:val="single"/>
            <w:lang w:eastAsia="en-IN"/>
          </w:rPr>
          <w:t>https://yousign.com/blog/how-to-build-founder-agreement</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Founders Agreement: Essential Guide for Startups - HyperStart CLM, accessed on April 14, 2026, </w:t>
      </w:r>
      <w:hyperlink r:id="rId27" w:history="1">
        <w:r w:rsidRPr="005D6111">
          <w:rPr>
            <w:rFonts w:ascii="Arial" w:eastAsia="Times New Roman" w:hAnsi="Arial" w:cs="Arial"/>
            <w:color w:val="0000EE"/>
            <w:sz w:val="24"/>
            <w:szCs w:val="24"/>
            <w:u w:val="single"/>
            <w:lang w:eastAsia="en-IN"/>
          </w:rPr>
          <w:t>https://www.hyperstart.com/blog/founders-agreement/</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When Co-Founders Go to War: Managing and Resolving Disputes Between Company Founders - Just Law Journal, accessed on April 14, 2026, </w:t>
      </w:r>
      <w:hyperlink r:id="rId28" w:history="1">
        <w:r w:rsidRPr="005D6111">
          <w:rPr>
            <w:rFonts w:ascii="Arial" w:eastAsia="Times New Roman" w:hAnsi="Arial" w:cs="Arial"/>
            <w:color w:val="0000EE"/>
            <w:sz w:val="24"/>
            <w:szCs w:val="24"/>
            <w:u w:val="single"/>
            <w:lang w:eastAsia="en-IN"/>
          </w:rPr>
          <w:t>https://www.justlawjournal.com/insights/when-co-founders-go-to-war-managing-and-resolving-disputes-between-company-founders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Global Supply Chains Enter Era of Structural Volatility, World Economic Forum Report Finds, accessed on April 14, 2026, </w:t>
      </w:r>
      <w:hyperlink r:id="rId29" w:history="1">
        <w:r w:rsidRPr="005D6111">
          <w:rPr>
            <w:rFonts w:ascii="Arial" w:eastAsia="Times New Roman" w:hAnsi="Arial" w:cs="Arial"/>
            <w:color w:val="0000EE"/>
            <w:sz w:val="24"/>
            <w:szCs w:val="24"/>
            <w:u w:val="single"/>
            <w:lang w:eastAsia="en-IN"/>
          </w:rPr>
          <w:t>https://www.weforum.org/press/2026/01/global-supply-chains-enter-era-of-structural-volatility-world-economic-forum-report-finds/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Eight Trends for 2026: Pricing, Passion, and the Risks Ahead | Working Knowledge, accessed on April 14, 2026, </w:t>
      </w:r>
      <w:hyperlink r:id="rId30" w:history="1">
        <w:r w:rsidRPr="005D6111">
          <w:rPr>
            <w:rFonts w:ascii="Arial" w:eastAsia="Times New Roman" w:hAnsi="Arial" w:cs="Arial"/>
            <w:color w:val="0000EE"/>
            <w:sz w:val="24"/>
            <w:szCs w:val="24"/>
            <w:u w:val="single"/>
            <w:lang w:eastAsia="en-IN"/>
          </w:rPr>
          <w:t>https://www.library.hbs.edu/working-knowledge/eight-trends-for-2026-pricing-passion-and-the-risks-ahead</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Global Cybersecurity Outlook 2026 – World Economic Forum, accessed on April 14, 2026, </w:t>
      </w:r>
      <w:hyperlink r:id="rId31" w:history="1">
        <w:r w:rsidRPr="005D6111">
          <w:rPr>
            <w:rFonts w:ascii="Arial" w:eastAsia="Times New Roman" w:hAnsi="Arial" w:cs="Arial"/>
            <w:color w:val="0000EE"/>
            <w:sz w:val="24"/>
            <w:szCs w:val="24"/>
            <w:u w:val="single"/>
            <w:lang w:eastAsia="en-IN"/>
          </w:rPr>
          <w:t>https://reports.weforum.org/docs/WEF_Global_Cybersecurity_Outlook_2026.pdf</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lastRenderedPageBreak/>
        <w:t xml:space="preserve">Supply chain trends in 2026: A continuation of complexity and risk - Marsh, accessed on April 14, 2026, </w:t>
      </w:r>
      <w:hyperlink r:id="rId32" w:history="1">
        <w:r w:rsidRPr="005D6111">
          <w:rPr>
            <w:rFonts w:ascii="Arial" w:eastAsia="Times New Roman" w:hAnsi="Arial" w:cs="Arial"/>
            <w:color w:val="0000EE"/>
            <w:sz w:val="24"/>
            <w:szCs w:val="24"/>
            <w:u w:val="single"/>
            <w:lang w:eastAsia="en-IN"/>
          </w:rPr>
          <w:t>https://www.marsh.com/en/services/business-interruption-supply-chain/insights/supply-chain-trends.html</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2026: A challenging geopolitical landscape for businesses - Esade Insights &amp; Knowledge hub, accessed on April 14, 2026, </w:t>
      </w:r>
      <w:hyperlink r:id="rId33" w:history="1">
        <w:r w:rsidRPr="005D6111">
          <w:rPr>
            <w:rFonts w:ascii="Arial" w:eastAsia="Times New Roman" w:hAnsi="Arial" w:cs="Arial"/>
            <w:color w:val="0000EE"/>
            <w:sz w:val="24"/>
            <w:szCs w:val="24"/>
            <w:u w:val="single"/>
            <w:lang w:eastAsia="en-IN"/>
          </w:rPr>
          <w:t>https://dobetter.esade.edu/en/geopolitical-risks-business-2026</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The 2026 supply chain challenge: Global trade disruption - Thomson Reuters, accessed on April 14, 2026, </w:t>
      </w:r>
      <w:hyperlink r:id="rId34" w:history="1">
        <w:r w:rsidRPr="005D6111">
          <w:rPr>
            <w:rFonts w:ascii="Arial" w:eastAsia="Times New Roman" w:hAnsi="Arial" w:cs="Arial"/>
            <w:color w:val="0000EE"/>
            <w:sz w:val="24"/>
            <w:szCs w:val="24"/>
            <w:u w:val="single"/>
            <w:lang w:eastAsia="en-IN"/>
          </w:rPr>
          <w:t>https://tax.thomsonreuters.com/blog/2026s-supply-chain-challenge-confronting-complexity-and-disruption-in-global-trade-tri/</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Allianz Risk Barometer 2026 - Business interruption, accessed on April 14, 2026, </w:t>
      </w:r>
      <w:hyperlink r:id="rId35" w:history="1">
        <w:r w:rsidRPr="005D6111">
          <w:rPr>
            <w:rFonts w:ascii="Arial" w:eastAsia="Times New Roman" w:hAnsi="Arial" w:cs="Arial"/>
            <w:color w:val="0000EE"/>
            <w:sz w:val="24"/>
            <w:szCs w:val="24"/>
            <w:u w:val="single"/>
            <w:lang w:eastAsia="en-IN"/>
          </w:rPr>
          <w:t>https://commercial.allianz.com/news-and-insights/expert-risk-articles/allianz-risk-barometer-2026-business-interruption.html</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Annual Threat Dynamics 2026: Cyber threats in motion - PwC, accessed on April 14, 2026, </w:t>
      </w:r>
      <w:hyperlink r:id="rId36" w:history="1">
        <w:r w:rsidRPr="005D6111">
          <w:rPr>
            <w:rFonts w:ascii="Arial" w:eastAsia="Times New Roman" w:hAnsi="Arial" w:cs="Arial"/>
            <w:color w:val="0000EE"/>
            <w:sz w:val="24"/>
            <w:szCs w:val="24"/>
            <w:u w:val="single"/>
            <w:lang w:eastAsia="en-IN"/>
          </w:rPr>
          <w:t>https://www.pwc.com/gx/en/issues/cybersecurity/cyber-threat-intelligence/annual-threat-dynamics.html</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The AI-fication of Cyberthreats: Trend Micro Security Predictions for 2026, accessed on April 14, 2026, </w:t>
      </w:r>
      <w:hyperlink r:id="rId37" w:history="1">
        <w:r w:rsidRPr="005D6111">
          <w:rPr>
            <w:rFonts w:ascii="Arial" w:eastAsia="Times New Roman" w:hAnsi="Arial" w:cs="Arial"/>
            <w:color w:val="0000EE"/>
            <w:sz w:val="24"/>
            <w:szCs w:val="24"/>
            <w:u w:val="single"/>
            <w:lang w:eastAsia="en-IN"/>
          </w:rPr>
          <w:t>https://www.trendmicro.com/vinfo/us/security/research-and-analysis/predictions/the-ai-fication-of-cyberthreats-trend-micro-security-predictions-for-2026</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10 Cyber Security Trends For 2026 - SentinelOne, accessed on April 14, 2026, </w:t>
      </w:r>
      <w:hyperlink r:id="rId38" w:history="1">
        <w:r w:rsidRPr="005D6111">
          <w:rPr>
            <w:rFonts w:ascii="Arial" w:eastAsia="Times New Roman" w:hAnsi="Arial" w:cs="Arial"/>
            <w:color w:val="0000EE"/>
            <w:sz w:val="24"/>
            <w:szCs w:val="24"/>
            <w:u w:val="single"/>
            <w:lang w:eastAsia="en-IN"/>
          </w:rPr>
          <w:t>https://www.sentinelone.com/cybersecurity-101/cybersecurity/cyber-security-trends/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Cybersecurity Forecast 2026 report - Google Cloud, accessed on April 14, 2026, </w:t>
      </w:r>
      <w:hyperlink r:id="rId39" w:history="1">
        <w:r w:rsidRPr="005D6111">
          <w:rPr>
            <w:rFonts w:ascii="Arial" w:eastAsia="Times New Roman" w:hAnsi="Arial" w:cs="Arial"/>
            <w:color w:val="0000EE"/>
            <w:sz w:val="24"/>
            <w:szCs w:val="24"/>
            <w:u w:val="single"/>
            <w:lang w:eastAsia="en-IN"/>
          </w:rPr>
          <w:t>https://cloud.google.com/security/resources/cybersecurity-forecast</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Executive survey on AI, risk and growth - PwC, accessed on April 14, 2026, </w:t>
      </w:r>
      <w:hyperlink r:id="rId40" w:history="1">
        <w:r w:rsidRPr="005D6111">
          <w:rPr>
            <w:rFonts w:ascii="Arial" w:eastAsia="Times New Roman" w:hAnsi="Arial" w:cs="Arial"/>
            <w:color w:val="0000EE"/>
            <w:sz w:val="24"/>
            <w:szCs w:val="24"/>
            <w:u w:val="single"/>
            <w:lang w:eastAsia="en-IN"/>
          </w:rPr>
          <w:t>https://www.pwc.com/us/en/about-us/newsroom/press-releases/executive-views-on-policy-risk-and-growth-april-2026.html</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Statutory Compliance for Startups | The Remote Work Trap in 2026, accessed on April 14, 2026, </w:t>
      </w:r>
      <w:hyperlink r:id="rId41" w:history="1">
        <w:r w:rsidRPr="005D6111">
          <w:rPr>
            <w:rFonts w:ascii="Arial" w:eastAsia="Times New Roman" w:hAnsi="Arial" w:cs="Arial"/>
            <w:color w:val="0000EE"/>
            <w:sz w:val="24"/>
            <w:szCs w:val="24"/>
            <w:u w:val="single"/>
            <w:lang w:eastAsia="en-IN"/>
          </w:rPr>
          <w:t>https://futurexsolutions.com/the-remote-work-trap-why-multi-state-compliance-is-the-biggest-risk-for-indian-startups-in-2026/</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Complete Guide to Statutory Compliance in India for 2026 - Mysa, accessed on April 14, 2026, </w:t>
      </w:r>
      <w:hyperlink r:id="rId42" w:history="1">
        <w:r w:rsidRPr="005D6111">
          <w:rPr>
            <w:rFonts w:ascii="Arial" w:eastAsia="Times New Roman" w:hAnsi="Arial" w:cs="Arial"/>
            <w:color w:val="0000EE"/>
            <w:sz w:val="24"/>
            <w:szCs w:val="24"/>
            <w:u w:val="single"/>
            <w:lang w:eastAsia="en-IN"/>
          </w:rPr>
          <w:t>https://www.mysa.io/blogs/statutory-compliance</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The Firm - Nishith Desai Associates, accessed on April 14, 2026, </w:t>
      </w:r>
      <w:hyperlink r:id="rId43" w:history="1">
        <w:r w:rsidRPr="005D6111">
          <w:rPr>
            <w:rFonts w:ascii="Arial" w:eastAsia="Times New Roman" w:hAnsi="Arial" w:cs="Arial"/>
            <w:color w:val="0000EE"/>
            <w:sz w:val="24"/>
            <w:szCs w:val="24"/>
            <w:u w:val="single"/>
            <w:lang w:eastAsia="en-IN"/>
          </w:rPr>
          <w:t>https://www.nishithdesai.com/research-and-articles/hotline/technology-law-analysis/technology-law-policy-2026-disruption-direction-and-strategy-15494</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Indian startup layoffs cross 4,500 in eight months, largely linked to ..., accessed on April 14, 2026, </w:t>
      </w:r>
      <w:hyperlink r:id="rId44" w:history="1">
        <w:r w:rsidRPr="005D6111">
          <w:rPr>
            <w:rFonts w:ascii="Arial" w:eastAsia="Times New Roman" w:hAnsi="Arial" w:cs="Arial"/>
            <w:color w:val="0000EE"/>
            <w:sz w:val="24"/>
            <w:szCs w:val="24"/>
            <w:u w:val="single"/>
            <w:lang w:eastAsia="en-IN"/>
          </w:rPr>
          <w:t>https://www.peoplematters.in/news/strategic-hr/indian-startup-layoffs-cross-4500-in-eight-months-largely-linked-to-business-pressures-48597</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Indian startups laid off over 4,500 employees since July - The Economic Times, accessed on April 14, 2026, </w:t>
      </w:r>
      <w:hyperlink r:id="rId45" w:history="1">
        <w:r w:rsidRPr="005D6111">
          <w:rPr>
            <w:rFonts w:ascii="Arial" w:eastAsia="Times New Roman" w:hAnsi="Arial" w:cs="Arial"/>
            <w:color w:val="0000EE"/>
            <w:sz w:val="24"/>
            <w:szCs w:val="24"/>
            <w:u w:val="single"/>
            <w:lang w:eastAsia="en-IN"/>
          </w:rPr>
          <w:t>https://m.economictimes.com/news/company/corporate-trends/indian-startups-laid-off-over-4500-employees-since-july/articleshow/128813618.cms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Karnataka rolls out startup policy with Rs 571 Cr ... - YourStory.com, accessed on April 14, 2026, </w:t>
      </w:r>
      <w:hyperlink r:id="rId46" w:history="1">
        <w:r w:rsidRPr="005D6111">
          <w:rPr>
            <w:rFonts w:ascii="Arial" w:eastAsia="Times New Roman" w:hAnsi="Arial" w:cs="Arial"/>
            <w:color w:val="0000EE"/>
            <w:sz w:val="24"/>
            <w:szCs w:val="24"/>
            <w:u w:val="single"/>
            <w:lang w:eastAsia="en-IN"/>
          </w:rPr>
          <w:t>https://yourstory.com/2026/01/karnataka-startup-policy-rs-571-cr-outlay-targets-deeptech-growth-beyond-bengaluru</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Policies - KDEM - Technology Enabler, accessed on April 14, 2026, </w:t>
      </w:r>
      <w:hyperlink r:id="rId47" w:history="1">
        <w:r w:rsidRPr="005D6111">
          <w:rPr>
            <w:rFonts w:ascii="Arial" w:eastAsia="Times New Roman" w:hAnsi="Arial" w:cs="Arial"/>
            <w:color w:val="0000EE"/>
            <w:sz w:val="24"/>
            <w:szCs w:val="24"/>
            <w:u w:val="single"/>
            <w:lang w:eastAsia="en-IN"/>
          </w:rPr>
          <w:t>https://karnatakadigital.in/policies/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lastRenderedPageBreak/>
        <w:t xml:space="preserve">Karnataka GCC Policy 2024-2029 Overview | PDF | Multinational Corporation - Scribd, accessed on April 14, 2026, </w:t>
      </w:r>
      <w:hyperlink r:id="rId48" w:history="1">
        <w:r w:rsidRPr="005D6111">
          <w:rPr>
            <w:rFonts w:ascii="Arial" w:eastAsia="Times New Roman" w:hAnsi="Arial" w:cs="Arial"/>
            <w:color w:val="0000EE"/>
            <w:sz w:val="24"/>
            <w:szCs w:val="24"/>
            <w:u w:val="single"/>
            <w:lang w:eastAsia="en-IN"/>
          </w:rPr>
          <w:t>https://www.scribd.com/document/849506921/Karnataka-Global-Capability-Center-Policy-2024-2029</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Karnataka Global Capability Center Policy 2024-2029: Key Features - India Briefing, accessed on April 14, 2026, </w:t>
      </w:r>
      <w:hyperlink r:id="rId49" w:history="1">
        <w:r w:rsidRPr="005D6111">
          <w:rPr>
            <w:rFonts w:ascii="Arial" w:eastAsia="Times New Roman" w:hAnsi="Arial" w:cs="Arial"/>
            <w:color w:val="0000EE"/>
            <w:sz w:val="24"/>
            <w:szCs w:val="24"/>
            <w:u w:val="single"/>
            <w:lang w:eastAsia="en-IN"/>
          </w:rPr>
          <w:t>https://www.india-briefing.com/news/karnataka-global-capability-center-policy-2024-2029-key-features-35441.html/</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Karnataka GCC Policy 2024-2029: A Pioneering Vision for Global Capability Centers, accessed on April 14, 2026, </w:t>
      </w:r>
      <w:hyperlink r:id="rId50" w:history="1">
        <w:r w:rsidRPr="005D6111">
          <w:rPr>
            <w:rFonts w:ascii="Arial" w:eastAsia="Times New Roman" w:hAnsi="Arial" w:cs="Arial"/>
            <w:color w:val="0000EE"/>
            <w:sz w:val="24"/>
            <w:szCs w:val="24"/>
            <w:u w:val="single"/>
            <w:lang w:eastAsia="en-IN"/>
          </w:rPr>
          <w:t>https://inductusgcc.com/karnataka-gcc-policy-2024-2029-a-pioneering-vision-for-global-capability-centres/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What No One Tells You About Picking The Right GCC Location | Zinnov, accessed on April 14, 2026, </w:t>
      </w:r>
      <w:hyperlink r:id="rId51" w:history="1">
        <w:r w:rsidRPr="005D6111">
          <w:rPr>
            <w:rFonts w:ascii="Arial" w:eastAsia="Times New Roman" w:hAnsi="Arial" w:cs="Arial"/>
            <w:color w:val="0000EE"/>
            <w:sz w:val="24"/>
            <w:szCs w:val="24"/>
            <w:u w:val="single"/>
            <w:lang w:eastAsia="en-IN"/>
          </w:rPr>
          <w:t>https://zinnov.com/centers-of-excellence/what-no-one-tells-you-about-picking-the-right-gcc-location-blog/</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₹518 Crore Bet: Bengaluru's Policy Shock Powers 25,000 Startups Amid $1.7B Dip | by Kumar Ankit | Medium, accessed on April 14, 2026, </w:t>
      </w:r>
      <w:hyperlink r:id="rId52" w:history="1">
        <w:r w:rsidRPr="005D6111">
          <w:rPr>
            <w:rFonts w:ascii="Arial" w:eastAsia="Times New Roman" w:hAnsi="Arial" w:cs="Arial"/>
            <w:color w:val="0000EE"/>
            <w:sz w:val="24"/>
            <w:szCs w:val="24"/>
            <w:u w:val="single"/>
            <w:lang w:eastAsia="en-IN"/>
          </w:rPr>
          <w:t>https://medium.com/@kankit570/bengalurus-next-s-curve-what-changed-in-the-last-6-months-and-why-it-matters-more-than-ever-278fd2c0a472</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Karnataka CM unveils three policies to transform state into global destination for innovation, accessed on April 14, 2026, </w:t>
      </w:r>
      <w:hyperlink r:id="rId53" w:history="1">
        <w:r w:rsidRPr="005D6111">
          <w:rPr>
            <w:rFonts w:ascii="Arial" w:eastAsia="Times New Roman" w:hAnsi="Arial" w:cs="Arial"/>
            <w:color w:val="0000EE"/>
            <w:sz w:val="24"/>
            <w:szCs w:val="24"/>
            <w:u w:val="single"/>
            <w:lang w:eastAsia="en-IN"/>
          </w:rPr>
          <w:t>https://m.economictimes.com/tech/technology/karnataka-cm-unveils-three-policies-to-transform-state-into-global-destination-for-innovation/articleshow/125406966.cms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Karnataka's draft reservation bill—a threat to Bangalore's tech hub status—is on hold, accessed on April 14, 2026, </w:t>
      </w:r>
      <w:hyperlink r:id="rId54" w:history="1">
        <w:r w:rsidRPr="005D6111">
          <w:rPr>
            <w:rFonts w:ascii="Arial" w:eastAsia="Times New Roman" w:hAnsi="Arial" w:cs="Arial"/>
            <w:color w:val="0000EE"/>
            <w:sz w:val="24"/>
            <w:szCs w:val="24"/>
            <w:u w:val="single"/>
            <w:lang w:eastAsia="en-IN"/>
          </w:rPr>
          <w:t>https://www.hfsresearch.com/research/karnatakas-draft-reservation-bill/</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Karnataka job reservation bill for locals: Why is it controversial? - YouTube, accessed on April 14, 2026, </w:t>
      </w:r>
      <w:hyperlink r:id="rId55" w:history="1">
        <w:r w:rsidRPr="005D6111">
          <w:rPr>
            <w:rFonts w:ascii="Arial" w:eastAsia="Times New Roman" w:hAnsi="Arial" w:cs="Arial"/>
            <w:color w:val="0000EE"/>
            <w:sz w:val="24"/>
            <w:szCs w:val="24"/>
            <w:u w:val="single"/>
            <w:lang w:eastAsia="en-IN"/>
          </w:rPr>
          <w:t>https://www.youtube.com/watch?v=o0h0v3nlVIk</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Explainer: A lowdown on Karnataka's draft bill for local quota in govt jobs - Hindustan Times, accessed on April 14, 2026, </w:t>
      </w:r>
      <w:hyperlink r:id="rId56" w:history="1">
        <w:r w:rsidRPr="005D6111">
          <w:rPr>
            <w:rFonts w:ascii="Arial" w:eastAsia="Times New Roman" w:hAnsi="Arial" w:cs="Arial"/>
            <w:color w:val="0000EE"/>
            <w:sz w:val="24"/>
            <w:szCs w:val="24"/>
            <w:u w:val="single"/>
            <w:lang w:eastAsia="en-IN"/>
          </w:rPr>
          <w:t>https://www.hindustantimes.com/india-news/explainer-a-lowdown-on-karnataka-s-draft-bill-for-local-quota-in-govt-jobs-101721211537151.html</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Nasscom opposes Karnataka's local jobs reservations bill, warns firms might relocate, accessed on April 14, 2026, </w:t>
      </w:r>
      <w:hyperlink r:id="rId57" w:history="1">
        <w:r w:rsidRPr="005D6111">
          <w:rPr>
            <w:rFonts w:ascii="Arial" w:eastAsia="Times New Roman" w:hAnsi="Arial" w:cs="Arial"/>
            <w:color w:val="0000EE"/>
            <w:sz w:val="24"/>
            <w:szCs w:val="24"/>
            <w:u w:val="single"/>
            <w:lang w:eastAsia="en-IN"/>
          </w:rPr>
          <w:t>https://www.thehindu.com/business/Economy/nasscom-opposes-karnatakas-local-jobs-reservations-bill-warns-firms-might-relocate/article68414123.ece</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Karnataka govt puts reservation bill for Kannadigas in private firms on hold amid massive backlash - ETHRWorld.com, accessed on April 14, 2026, </w:t>
      </w:r>
      <w:hyperlink r:id="rId58" w:history="1">
        <w:r w:rsidRPr="005D6111">
          <w:rPr>
            <w:rFonts w:ascii="Arial" w:eastAsia="Times New Roman" w:hAnsi="Arial" w:cs="Arial"/>
            <w:color w:val="0000EE"/>
            <w:sz w:val="24"/>
            <w:szCs w:val="24"/>
            <w:u w:val="single"/>
            <w:lang w:eastAsia="en-IN"/>
          </w:rPr>
          <w:t>https://hr.economictimes.indiatimes.com/news/industry/karnataka-govt-puts-reservation-bill-for-kannadigas-in-private-firms-on-hold-amid-massive-backlash/111822684</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Karnataka Reservation Bill May Make Bangalore Lose It's Silicon Valley of India Status, accessed on April 14, 2026, </w:t>
      </w:r>
      <w:hyperlink r:id="rId59" w:history="1">
        <w:r w:rsidRPr="005D6111">
          <w:rPr>
            <w:rFonts w:ascii="Arial" w:eastAsia="Times New Roman" w:hAnsi="Arial" w:cs="Arial"/>
            <w:color w:val="0000EE"/>
            <w:sz w:val="24"/>
            <w:szCs w:val="24"/>
            <w:u w:val="single"/>
            <w:lang w:eastAsia="en-IN"/>
          </w:rPr>
          <w:t>https://techachievemedia.com/latest-news/karnataka-reservation-bill-may-make-bangalore-lose-its-silicon-valley-of-india-status/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Karnataka's proposed 14-hour work day faces backlash from tech employees - YouTube, accessed on April 14, 2026, </w:t>
      </w:r>
      <w:hyperlink r:id="rId60" w:history="1">
        <w:r w:rsidRPr="005D6111">
          <w:rPr>
            <w:rFonts w:ascii="Arial" w:eastAsia="Times New Roman" w:hAnsi="Arial" w:cs="Arial"/>
            <w:color w:val="0000EE"/>
            <w:sz w:val="24"/>
            <w:szCs w:val="24"/>
            <w:u w:val="single"/>
            <w:lang w:eastAsia="en-IN"/>
          </w:rPr>
          <w:t>https://www.youtube.com/watch?v=wHIVM13-LBI</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lastRenderedPageBreak/>
        <w:t xml:space="preserve">Karnataka's 12-Hour Workday Proposal Sparks Alarm Across Tech ..., accessed on April 14, 2026, </w:t>
      </w:r>
      <w:hyperlink r:id="rId61" w:history="1">
        <w:r w:rsidRPr="005D6111">
          <w:rPr>
            <w:rFonts w:ascii="Arial" w:eastAsia="Times New Roman" w:hAnsi="Arial" w:cs="Arial"/>
            <w:color w:val="0000EE"/>
            <w:sz w:val="24"/>
            <w:szCs w:val="24"/>
            <w:u w:val="single"/>
            <w:lang w:eastAsia="en-IN"/>
          </w:rPr>
          <w:t>https://openthemagazine.com/feature/karnatakas-12-hour-workday-proposal-sparks-alarm-across-tech-sector</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Karnataka's proposed 10-hour work shifts: What you need to know - The Hindu, accessed on April 14, 2026, </w:t>
      </w:r>
      <w:hyperlink r:id="rId62" w:history="1">
        <w:r w:rsidRPr="005D6111">
          <w:rPr>
            <w:rFonts w:ascii="Arial" w:eastAsia="Times New Roman" w:hAnsi="Arial" w:cs="Arial"/>
            <w:color w:val="0000EE"/>
            <w:sz w:val="24"/>
            <w:szCs w:val="24"/>
            <w:u w:val="single"/>
            <w:lang w:eastAsia="en-IN"/>
          </w:rPr>
          <w:t>https://www.thehindu.com/news/national/karnataka/karnatakas-proposed-10-hour-work-shifts-what-you-need-to-know/article69708393.ece</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Karnataka proposes to increase daily working hours, overtime - The Hindu, accessed on April 14, 2026, </w:t>
      </w:r>
      <w:hyperlink r:id="rId63" w:history="1">
        <w:r w:rsidRPr="005D6111">
          <w:rPr>
            <w:rFonts w:ascii="Arial" w:eastAsia="Times New Roman" w:hAnsi="Arial" w:cs="Arial"/>
            <w:color w:val="0000EE"/>
            <w:sz w:val="24"/>
            <w:szCs w:val="24"/>
            <w:u w:val="single"/>
            <w:lang w:eastAsia="en-IN"/>
          </w:rPr>
          <w:t>https://www.thehindu.com/news/national/karnataka/karnataka-proposes-to-increase-daily-working-hours-overtime/article69705833.ece</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14-hour work day not our idea, IT industry exerting pressure: Karnataka labour minister, accessed on April 14, 2026, </w:t>
      </w:r>
      <w:hyperlink r:id="rId64" w:history="1">
        <w:r w:rsidRPr="005D6111">
          <w:rPr>
            <w:rFonts w:ascii="Arial" w:eastAsia="Times New Roman" w:hAnsi="Arial" w:cs="Arial"/>
            <w:color w:val="0000EE"/>
            <w:sz w:val="24"/>
            <w:szCs w:val="24"/>
            <w:u w:val="single"/>
            <w:lang w:eastAsia="en-IN"/>
          </w:rPr>
          <w:t>https://indianexpress.com/article/cities/bangalore/it-industry-pressure-working-hours-employees-labour-minister-9469336/</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New labour law in Karnataka promotes China-like work culture | Today News - Mint, accessed on April 14, 2026, </w:t>
      </w:r>
      <w:hyperlink r:id="rId65" w:history="1">
        <w:r w:rsidRPr="005D6111">
          <w:rPr>
            <w:rFonts w:ascii="Arial" w:eastAsia="Times New Roman" w:hAnsi="Arial" w:cs="Arial"/>
            <w:color w:val="0000EE"/>
            <w:sz w:val="24"/>
            <w:szCs w:val="24"/>
            <w:u w:val="single"/>
            <w:lang w:eastAsia="en-IN"/>
          </w:rPr>
          <w:t>https://www.livemint.com/news/india/new-labour-law-in-karnataka-promoted-by-apple-and-foxconn-allows-12-hour-shifts-night-time-work-for-women-report-11678412757158.html</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Apple, Foxconn lobbied for Karnataka's new labour law allowing 12-hour shifts, night-time work for women - KNN India, accessed on April 14, 2026, </w:t>
      </w:r>
      <w:hyperlink r:id="rId66" w:history="1">
        <w:r w:rsidRPr="005D6111">
          <w:rPr>
            <w:rFonts w:ascii="Arial" w:eastAsia="Times New Roman" w:hAnsi="Arial" w:cs="Arial"/>
            <w:color w:val="0000EE"/>
            <w:sz w:val="24"/>
            <w:szCs w:val="24"/>
            <w:u w:val="single"/>
            <w:lang w:eastAsia="en-IN"/>
          </w:rPr>
          <w:t>https://knnindia.co.in/news/newsdetails/state/karnataka/apple-foxconn-lobbied-for-karnatakas-new-labour-law-allowing-12-hour-shifts-night-time-work-for-women</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Attraction, Retention Trends to Monitor in 2026 - Sentinel Group, accessed on April 14, 2026, </w:t>
      </w:r>
      <w:hyperlink r:id="rId67" w:history="1">
        <w:r w:rsidRPr="005D6111">
          <w:rPr>
            <w:rFonts w:ascii="Arial" w:eastAsia="Times New Roman" w:hAnsi="Arial" w:cs="Arial"/>
            <w:color w:val="0000EE"/>
            <w:sz w:val="24"/>
            <w:szCs w:val="24"/>
            <w:u w:val="single"/>
            <w:lang w:eastAsia="en-IN"/>
          </w:rPr>
          <w:t>https://www.sentinelgroup.com/resource-center/2026/attraction-and-retention-trends-2026</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2026 C</w:t>
      </w:r>
      <w:r w:rsidRPr="005D6111">
        <w:rPr>
          <w:rFonts w:ascii="Arial" w:eastAsia="Times New Roman" w:hAnsi="Arial" w:cs="Arial"/>
          <w:color w:val="000000"/>
          <w:sz w:val="24"/>
          <w:szCs w:val="24"/>
          <w:lang w:eastAsia="en-IN"/>
        </w:rPr>
        <w:noBreakHyphen/>
        <w:t xml:space="preserve">Suite Research: Executive Turnover Falls as AI Skill Gaps Rise | LHH, accessed on April 14, 2026, </w:t>
      </w:r>
      <w:hyperlink r:id="rId68" w:history="1">
        <w:r w:rsidRPr="005D6111">
          <w:rPr>
            <w:rFonts w:ascii="Arial" w:eastAsia="Times New Roman" w:hAnsi="Arial" w:cs="Arial"/>
            <w:color w:val="0000EE"/>
            <w:sz w:val="24"/>
            <w:szCs w:val="24"/>
            <w:u w:val="single"/>
            <w:lang w:eastAsia="en-IN"/>
          </w:rPr>
          <w:t>https://www.lhh.com/en-us/insights/pressroom/lhh-2026-c-suite-research</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Why Businesses Fail: How to Use a Pre-Mortem Analysis, accessed on April 14, 2026, </w:t>
      </w:r>
      <w:hyperlink r:id="rId69" w:history="1">
        <w:r w:rsidRPr="005D6111">
          <w:rPr>
            <w:rFonts w:ascii="Arial" w:eastAsia="Times New Roman" w:hAnsi="Arial" w:cs="Arial"/>
            <w:color w:val="0000EE"/>
            <w:sz w:val="24"/>
            <w:szCs w:val="24"/>
            <w:u w:val="single"/>
            <w:lang w:eastAsia="en-IN"/>
          </w:rPr>
          <w:t>https://www.qualitycompanyformations.co.uk/blog/why-businesses-fail-pre-mortem-analysis/</w:t>
        </w:r>
      </w:hyperlink>
    </w:p>
    <w:p w:rsidR="005D6111" w:rsidRPr="005D6111" w:rsidRDefault="005D6111" w:rsidP="005D6111">
      <w:pPr>
        <w:numPr>
          <w:ilvl w:val="0"/>
          <w:numId w:val="1"/>
        </w:numPr>
        <w:spacing w:after="0" w:line="240" w:lineRule="auto"/>
        <w:ind w:left="600"/>
        <w:textAlignment w:val="baseline"/>
        <w:rPr>
          <w:rFonts w:ascii="Arial" w:eastAsia="Times New Roman" w:hAnsi="Arial" w:cs="Arial"/>
          <w:color w:val="000000"/>
          <w:lang w:eastAsia="en-IN"/>
        </w:rPr>
      </w:pPr>
      <w:r w:rsidRPr="005D6111">
        <w:rPr>
          <w:rFonts w:ascii="Arial" w:eastAsia="Times New Roman" w:hAnsi="Arial" w:cs="Arial"/>
          <w:color w:val="000000"/>
          <w:sz w:val="24"/>
          <w:szCs w:val="24"/>
          <w:lang w:eastAsia="en-IN"/>
        </w:rPr>
        <w:t xml:space="preserve">Risk Management for Founders &amp; Entrepreneurs: A Strategic Guide ..., accessed on April 14, 2026, </w:t>
      </w:r>
      <w:hyperlink r:id="rId70" w:history="1">
        <w:r w:rsidRPr="005D6111">
          <w:rPr>
            <w:rFonts w:ascii="Arial" w:eastAsia="Times New Roman" w:hAnsi="Arial" w:cs="Arial"/>
            <w:color w:val="0000EE"/>
            <w:sz w:val="24"/>
            <w:szCs w:val="24"/>
            <w:u w:val="single"/>
            <w:lang w:eastAsia="en-IN"/>
          </w:rPr>
          <w:t>https://treelife.in/startups/risk-management-for-founders-and-entrepreneurs/</w:t>
        </w:r>
      </w:hyperlink>
    </w:p>
    <w:p w:rsidR="00C44590" w:rsidRDefault="00C44590">
      <w:bookmarkStart w:id="0" w:name="_GoBack"/>
      <w:bookmarkEnd w:id="0"/>
    </w:p>
    <w:sectPr w:rsidR="00C44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6B6595"/>
    <w:multiLevelType w:val="multilevel"/>
    <w:tmpl w:val="8FDC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111"/>
    <w:rsid w:val="005D6111"/>
    <w:rsid w:val="00C44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BDA580-B1C9-4E3C-9593-D44CB16CC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D61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D611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5D611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11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D6111"/>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5D6111"/>
    <w:rPr>
      <w:rFonts w:ascii="Times New Roman" w:eastAsia="Times New Roman" w:hAnsi="Times New Roman" w:cs="Times New Roman"/>
      <w:b/>
      <w:bCs/>
      <w:sz w:val="24"/>
      <w:szCs w:val="24"/>
      <w:lang w:eastAsia="en-IN"/>
    </w:rPr>
  </w:style>
  <w:style w:type="paragraph" w:customStyle="1" w:styleId="msonormal0">
    <w:name w:val="msonormal"/>
    <w:basedOn w:val="Normal"/>
    <w:rsid w:val="005D611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5D61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D6111"/>
    <w:rPr>
      <w:color w:val="0000FF"/>
      <w:u w:val="single"/>
    </w:rPr>
  </w:style>
  <w:style w:type="character" w:styleId="FollowedHyperlink">
    <w:name w:val="FollowedHyperlink"/>
    <w:basedOn w:val="DefaultParagraphFont"/>
    <w:uiPriority w:val="99"/>
    <w:semiHidden/>
    <w:unhideWhenUsed/>
    <w:rsid w:val="005D611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765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yousign.com/blog/how-to-build-founder-agreement" TargetMode="External"/><Relationship Id="rId21" Type="http://schemas.openxmlformats.org/officeDocument/2006/relationships/hyperlink" Target="https://bryantgalindo.medium.com/save-your-startup-how-mediation-can-resolve-co-founder-disagreements-e1effec25b95" TargetMode="External"/><Relationship Id="rId42" Type="http://schemas.openxmlformats.org/officeDocument/2006/relationships/hyperlink" Target="https://www.mysa.io/blogs/statutory-compliance" TargetMode="External"/><Relationship Id="rId47" Type="http://schemas.openxmlformats.org/officeDocument/2006/relationships/hyperlink" Target="https://karnatakadigital.in/policies/" TargetMode="External"/><Relationship Id="rId63" Type="http://schemas.openxmlformats.org/officeDocument/2006/relationships/hyperlink" Target="https://www.thehindu.com/news/national/karnataka/karnataka-proposes-to-increase-daily-working-hours-overtime/article69705833.ece" TargetMode="External"/><Relationship Id="rId68" Type="http://schemas.openxmlformats.org/officeDocument/2006/relationships/hyperlink" Target="https://www.lhh.com/en-us/insights/pressroom/lhh-2026-c-suite-research" TargetMode="External"/><Relationship Id="rId7" Type="http://schemas.openxmlformats.org/officeDocument/2006/relationships/hyperlink" Target="https://www.reddit.com/r/SaaS/comments/1qql9yz/i_analyzed_20_failed_startups_across_different/"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vca.org/wp-content/uploads/2026/01/q4-2025-pitchbook-nvca-venture-monitor.pdf" TargetMode="External"/><Relationship Id="rId29" Type="http://schemas.openxmlformats.org/officeDocument/2006/relationships/hyperlink" Target="https://www.weforum.org/press/2026/01/global-supply-chains-enter-era-of-structural-volatility-world-economic-forum-report-finds/" TargetMode="External"/><Relationship Id="rId11" Type="http://schemas.openxmlformats.org/officeDocument/2006/relationships/hyperlink" Target="https://wearepresta.com/from-idea-to-mvp-the-strategic-2026-guide-for-startup-founders/" TargetMode="External"/><Relationship Id="rId24" Type="http://schemas.openxmlformats.org/officeDocument/2006/relationships/hyperlink" Target="https://rivereditor.com/guides/how-to-draft-founder-agreements-2026" TargetMode="External"/><Relationship Id="rId32" Type="http://schemas.openxmlformats.org/officeDocument/2006/relationships/hyperlink" Target="https://www.marsh.com/en/services/business-interruption-supply-chain/insights/supply-chain-trends.html" TargetMode="External"/><Relationship Id="rId37" Type="http://schemas.openxmlformats.org/officeDocument/2006/relationships/hyperlink" Target="https://www.trendmicro.com/vinfo/us/security/research-and-analysis/predictions/the-ai-fication-of-cyberthreats-trend-micro-security-predictions-for-2026" TargetMode="External"/><Relationship Id="rId40" Type="http://schemas.openxmlformats.org/officeDocument/2006/relationships/hyperlink" Target="https://www.pwc.com/us/en/about-us/newsroom/press-releases/executive-views-on-policy-risk-and-growth-april-2026.html" TargetMode="External"/><Relationship Id="rId45" Type="http://schemas.openxmlformats.org/officeDocument/2006/relationships/hyperlink" Target="https://m.economictimes.com/news/company/corporate-trends/indian-startups-laid-off-over-4500-employees-since-july/articleshow/128813618.cms" TargetMode="External"/><Relationship Id="rId53" Type="http://schemas.openxmlformats.org/officeDocument/2006/relationships/hyperlink" Target="https://m.economictimes.com/tech/technology/karnataka-cm-unveils-three-policies-to-transform-state-into-global-destination-for-innovation/articleshow/125406966.cms" TargetMode="External"/><Relationship Id="rId58" Type="http://schemas.openxmlformats.org/officeDocument/2006/relationships/hyperlink" Target="https://hr.economictimes.indiatimes.com/news/industry/karnataka-govt-puts-reservation-bill-for-kannadigas-in-private-firms-on-hold-amid-massive-backlash/111822684" TargetMode="External"/><Relationship Id="rId66" Type="http://schemas.openxmlformats.org/officeDocument/2006/relationships/hyperlink" Target="https://knnindia.co.in/news/newsdetails/state/karnataka/apple-foxconn-lobbied-for-karnatakas-new-labour-law-allowing-12-hour-shifts-night-time-work-for-women" TargetMode="External"/><Relationship Id="rId5" Type="http://schemas.openxmlformats.org/officeDocument/2006/relationships/hyperlink" Target="https://www.failory.com/blog/startup-failure-rate" TargetMode="External"/><Relationship Id="rId61" Type="http://schemas.openxmlformats.org/officeDocument/2006/relationships/hyperlink" Target="https://openthemagazine.com/feature/karnatakas-12-hour-workday-proposal-sparks-alarm-across-tech-sector" TargetMode="External"/><Relationship Id="rId19" Type="http://schemas.openxmlformats.org/officeDocument/2006/relationships/hyperlink" Target="https://www.wellington.com/en/insights/venture-capital-outlook" TargetMode="External"/><Relationship Id="rId14" Type="http://schemas.openxmlformats.org/officeDocument/2006/relationships/hyperlink" Target="https://www.svb.com/startup-insights/vc-relations/stages-of-venture-capital/" TargetMode="External"/><Relationship Id="rId22" Type="http://schemas.openxmlformats.org/officeDocument/2006/relationships/hyperlink" Target="https://www.ycombinator.com/library/MI-how-to-navigate-co-founder-disputes" TargetMode="External"/><Relationship Id="rId27" Type="http://schemas.openxmlformats.org/officeDocument/2006/relationships/hyperlink" Target="https://www.hyperstart.com/blog/founders-agreement/" TargetMode="External"/><Relationship Id="rId30" Type="http://schemas.openxmlformats.org/officeDocument/2006/relationships/hyperlink" Target="https://www.library.hbs.edu/working-knowledge/eight-trends-for-2026-pricing-passion-and-the-risks-ahead" TargetMode="External"/><Relationship Id="rId35" Type="http://schemas.openxmlformats.org/officeDocument/2006/relationships/hyperlink" Target="https://commercial.allianz.com/news-and-insights/expert-risk-articles/allianz-risk-barometer-2026-business-interruption.html" TargetMode="External"/><Relationship Id="rId43" Type="http://schemas.openxmlformats.org/officeDocument/2006/relationships/hyperlink" Target="https://www.nishithdesai.com/research-and-articles/hotline/technology-law-analysis/technology-law-policy-2026-disruption-direction-and-strategy-15494" TargetMode="External"/><Relationship Id="rId48" Type="http://schemas.openxmlformats.org/officeDocument/2006/relationships/hyperlink" Target="https://www.scribd.com/document/849506921/Karnataka-Global-Capability-Center-Policy-2024-2029" TargetMode="External"/><Relationship Id="rId56" Type="http://schemas.openxmlformats.org/officeDocument/2006/relationships/hyperlink" Target="https://www.hindustantimes.com/india-news/explainer-a-lowdown-on-karnataka-s-draft-bill-for-local-quota-in-govt-jobs-101721211537151.html" TargetMode="External"/><Relationship Id="rId64" Type="http://schemas.openxmlformats.org/officeDocument/2006/relationships/hyperlink" Target="https://indianexpress.com/article/cities/bangalore/it-industry-pressure-working-hours-employees-labour-minister-9469336/" TargetMode="External"/><Relationship Id="rId69" Type="http://schemas.openxmlformats.org/officeDocument/2006/relationships/hyperlink" Target="https://www.qualitycompanyformations.co.uk/blog/why-businesses-fail-pre-mortem-analysis/" TargetMode="External"/><Relationship Id="rId8" Type="http://schemas.openxmlformats.org/officeDocument/2006/relationships/hyperlink" Target="https://ideaproof.io/startup-failure-database" TargetMode="External"/><Relationship Id="rId51" Type="http://schemas.openxmlformats.org/officeDocument/2006/relationships/hyperlink" Target="https://zinnov.com/centers-of-excellence/what-no-one-tells-you-about-picking-the-right-gcc-location-blog/"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about.crunchbase.com/blog/failed-business-startup" TargetMode="External"/><Relationship Id="rId17" Type="http://schemas.openxmlformats.org/officeDocument/2006/relationships/hyperlink" Target="https://www.crv.com/content/safe-agreements-for-startups" TargetMode="External"/><Relationship Id="rId25" Type="http://schemas.openxmlformats.org/officeDocument/2006/relationships/hyperlink" Target="https://www.law.upenn.edu/clinic/entrepreneurship/startupkit/founders-agreement.pdf" TargetMode="External"/><Relationship Id="rId33" Type="http://schemas.openxmlformats.org/officeDocument/2006/relationships/hyperlink" Target="https://dobetter.esade.edu/en/geopolitical-risks-business-2026" TargetMode="External"/><Relationship Id="rId38" Type="http://schemas.openxmlformats.org/officeDocument/2006/relationships/hyperlink" Target="https://www.sentinelone.com/cybersecurity-101/cybersecurity/cyber-security-trends/" TargetMode="External"/><Relationship Id="rId46" Type="http://schemas.openxmlformats.org/officeDocument/2006/relationships/hyperlink" Target="https://yourstory.com/2026/01/karnataka-startup-policy-rs-571-cr-outlay-targets-deeptech-growth-beyond-bengaluru" TargetMode="External"/><Relationship Id="rId59" Type="http://schemas.openxmlformats.org/officeDocument/2006/relationships/hyperlink" Target="https://techachievemedia.com/latest-news/karnataka-reservation-bill-may-make-bangalore-lose-its-silicon-valley-of-india-status/" TargetMode="External"/><Relationship Id="rId67" Type="http://schemas.openxmlformats.org/officeDocument/2006/relationships/hyperlink" Target="https://www.sentinelgroup.com/resource-center/2026/attraction-and-retention-trends-2026" TargetMode="External"/><Relationship Id="rId20" Type="http://schemas.openxmlformats.org/officeDocument/2006/relationships/hyperlink" Target="https://govclab.com/2026/03/25/emerging-manager-venture-capital-the-complete-guide-for-2026/" TargetMode="External"/><Relationship Id="rId41" Type="http://schemas.openxmlformats.org/officeDocument/2006/relationships/hyperlink" Target="https://futurexsolutions.com/the-remote-work-trap-why-multi-state-compliance-is-the-biggest-risk-for-indian-startups-in-2026/" TargetMode="External"/><Relationship Id="rId54" Type="http://schemas.openxmlformats.org/officeDocument/2006/relationships/hyperlink" Target="https://www.hfsresearch.com/research/karnatakas-draft-reservation-bill/" TargetMode="External"/><Relationship Id="rId62" Type="http://schemas.openxmlformats.org/officeDocument/2006/relationships/hyperlink" Target="https://www.thehindu.com/news/national/karnataka/karnatakas-proposed-10-hour-work-shifts-what-you-need-to-know/article69708393.ece" TargetMode="External"/><Relationship Id="rId70" Type="http://schemas.openxmlformats.org/officeDocument/2006/relationships/hyperlink" Target="https://treelife.in/startups/risk-management-for-founders-and-entrepreneurs/" TargetMode="External"/><Relationship Id="rId1" Type="http://schemas.openxmlformats.org/officeDocument/2006/relationships/numbering" Target="numbering.xml"/><Relationship Id="rId6" Type="http://schemas.openxmlformats.org/officeDocument/2006/relationships/hyperlink" Target="https://ff.co/startup-statistics-guide/" TargetMode="External"/><Relationship Id="rId15" Type="http://schemas.openxmlformats.org/officeDocument/2006/relationships/hyperlink" Target="https://fi.co/benchmarks" TargetMode="External"/><Relationship Id="rId23" Type="http://schemas.openxmlformats.org/officeDocument/2006/relationships/hyperlink" Target="https://cofounderclarity.com/founder-therapy-blog/how-to-identify-and-fix-the-9-core-causes-of-cofounder-conflict" TargetMode="External"/><Relationship Id="rId28" Type="http://schemas.openxmlformats.org/officeDocument/2006/relationships/hyperlink" Target="https://www.justlawjournal.com/insights/when-co-founders-go-to-war-managing-and-resolving-disputes-between-company-founders" TargetMode="External"/><Relationship Id="rId36" Type="http://schemas.openxmlformats.org/officeDocument/2006/relationships/hyperlink" Target="https://www.pwc.com/gx/en/issues/cybersecurity/cyber-threat-intelligence/annual-threat-dynamics.html" TargetMode="External"/><Relationship Id="rId49" Type="http://schemas.openxmlformats.org/officeDocument/2006/relationships/hyperlink" Target="https://www.india-briefing.com/news/karnataka-global-capability-center-policy-2024-2029-key-features-35441.html/" TargetMode="External"/><Relationship Id="rId57" Type="http://schemas.openxmlformats.org/officeDocument/2006/relationships/hyperlink" Target="https://www.thehindu.com/business/Economy/nasscom-opposes-karnatakas-local-jobs-reservations-bill-warns-firms-might-relocate/article68414123.ece" TargetMode="External"/><Relationship Id="rId10" Type="http://schemas.openxmlformats.org/officeDocument/2006/relationships/hyperlink" Target="https://www.wearefounders.uk/top-10-startup-failures-of-2025-so-far/" TargetMode="External"/><Relationship Id="rId31" Type="http://schemas.openxmlformats.org/officeDocument/2006/relationships/hyperlink" Target="https://reports.weforum.org/docs/WEF_Global_Cybersecurity_Outlook_2026.pdf" TargetMode="External"/><Relationship Id="rId44" Type="http://schemas.openxmlformats.org/officeDocument/2006/relationships/hyperlink" Target="https://www.peoplematters.in/news/strategic-hr/indian-startup-layoffs-cross-4500-in-eight-months-largely-linked-to-business-pressures-48597" TargetMode="External"/><Relationship Id="rId52" Type="http://schemas.openxmlformats.org/officeDocument/2006/relationships/hyperlink" Target="https://medium.com/@kankit570/bengalurus-next-s-curve-what-changed-in-the-last-6-months-and-why-it-matters-more-than-ever-278fd2c0a472" TargetMode="External"/><Relationship Id="rId60" Type="http://schemas.openxmlformats.org/officeDocument/2006/relationships/hyperlink" Target="https://www.youtube.com/watch?v=wHIVM13-LBI" TargetMode="External"/><Relationship Id="rId65" Type="http://schemas.openxmlformats.org/officeDocument/2006/relationships/hyperlink" Target="https://www.livemint.com/news/india/new-labour-law-in-karnataka-promoted-by-apple-and-foxconn-allows-12-hour-shifts-night-time-work-for-women-report-11678412757158.html" TargetMode="External"/><Relationship Id="rId4" Type="http://schemas.openxmlformats.org/officeDocument/2006/relationships/webSettings" Target="webSettings.xml"/><Relationship Id="rId9" Type="http://schemas.openxmlformats.org/officeDocument/2006/relationships/hyperlink" Target="https://www.digitalsilk.com/digital-trends/startup-failure-rate-statistics/" TargetMode="External"/><Relationship Id="rId13" Type="http://schemas.openxmlformats.org/officeDocument/2006/relationships/hyperlink" Target="https://financialmodelslab.com/blogs/blog/risk-management-strategy-venture-capital-investing" TargetMode="External"/><Relationship Id="rId18" Type="http://schemas.openxmlformats.org/officeDocument/2006/relationships/hyperlink" Target="https://compliance.waystone.com/california-venture-capital-diversity-reporting-2026-compliance-guide-for-venture-capital-firms/" TargetMode="External"/><Relationship Id="rId39" Type="http://schemas.openxmlformats.org/officeDocument/2006/relationships/hyperlink" Target="https://cloud.google.com/security/resources/cybersecurity-forecast" TargetMode="External"/><Relationship Id="rId34" Type="http://schemas.openxmlformats.org/officeDocument/2006/relationships/hyperlink" Target="https://tax.thomsonreuters.com/blog/2026s-supply-chain-challenge-confronting-complexity-and-disruption-in-global-trade-tri/" TargetMode="External"/><Relationship Id="rId50" Type="http://schemas.openxmlformats.org/officeDocument/2006/relationships/hyperlink" Target="https://inductusgcc.com/karnataka-gcc-policy-2024-2029-a-pioneering-vision-for-global-capability-centres/" TargetMode="External"/><Relationship Id="rId55" Type="http://schemas.openxmlformats.org/officeDocument/2006/relationships/hyperlink" Target="https://www.youtube.com/watch?v=o0h0v3nlV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10684</Words>
  <Characters>60902</Characters>
  <Application>Microsoft Office Word</Application>
  <DocSecurity>0</DocSecurity>
  <Lines>507</Lines>
  <Paragraphs>142</Paragraphs>
  <ScaleCrop>false</ScaleCrop>
  <Company/>
  <LinksUpToDate>false</LinksUpToDate>
  <CharactersWithSpaces>71444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2026-04-15T10:25:00Z</dcterms:created>
  <dcterms:modified xsi:type="dcterms:W3CDTF">2026-04-15T10:26:00Z</dcterms:modified>
</cp:coreProperties>
</file>