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3"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276225</wp:posOffset>
            </wp:positionH>
            <wp:positionV relativeFrom="page">
              <wp:posOffset>172720</wp:posOffset>
            </wp:positionV>
            <wp:extent cx="2010410" cy="11690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010410" cy="1169035"/>
                    </a:xfrm>
                    <a:prstGeom prst="rect">
                      <a:avLst/>
                    </a:prstGeom>
                    <a:noFill/>
                  </pic:spPr>
                </pic:pic>
              </a:graphicData>
            </a:graphic>
          </wp:anchor>
        </w:drawing>
      </w:r>
    </w:p>
    <w:p>
      <w:pPr>
        <w:ind w:left="1700" w:right="2240" w:hanging="66"/>
        <w:spacing w:after="0" w:line="194" w:lineRule="auto"/>
        <w:rPr>
          <w:sz w:val="20"/>
          <w:szCs w:val="20"/>
          <w:color w:val="auto"/>
        </w:rPr>
      </w:pPr>
      <w:r>
        <w:rPr>
          <w:rFonts w:ascii="Stencil" w:cs="Stencil" w:eastAsia="Stencil" w:hAnsi="Stencil"/>
          <w:sz w:val="44"/>
          <w:szCs w:val="44"/>
          <w:b w:val="1"/>
          <w:bCs w:val="1"/>
          <w:color w:val="00B050"/>
        </w:rPr>
        <w:t>GROW GREEN CONSTRUCTIONS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1080770</wp:posOffset>
                </wp:positionH>
                <wp:positionV relativeFrom="paragraph">
                  <wp:posOffset>46355</wp:posOffset>
                </wp:positionV>
                <wp:extent cx="32518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51835" cy="4763"/>
                        </a:xfrm>
                        <a:prstGeom prst="line">
                          <a:avLst/>
                        </a:prstGeom>
                        <a:solidFill>
                          <a:srgbClr val="FFFFFF"/>
                        </a:solidFill>
                        <a:ln w="16763">
                          <a:solidFill>
                            <a:srgbClr val="00B05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1pt,3.65pt" to="341.15pt,3.65pt" o:allowincell="f" strokecolor="#00B050" strokeweight="1.3199pt"/>
            </w:pict>
          </mc:Fallback>
        </mc:AlternateConten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30"/>
          <w:szCs w:val="30"/>
          <w:b w:val="1"/>
          <w:bCs w:val="1"/>
          <w:color w:val="auto"/>
        </w:rPr>
        <w:t>9611745906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-431165</wp:posOffset>
            </wp:positionH>
            <wp:positionV relativeFrom="paragraph">
              <wp:posOffset>-191135</wp:posOffset>
            </wp:positionV>
            <wp:extent cx="315595" cy="3168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315595" cy="316865"/>
                    </a:xfrm>
                    <a:prstGeom prst="rect">
                      <a:avLst/>
                    </a:prstGeom>
                    <a:noFill/>
                  </pic:spPr>
                </pic:pic>
              </a:graphicData>
            </a:graphic>
          </wp:anchor>
        </w:drawing>
      </w:r>
    </w:p>
    <w:p>
      <w:pPr>
        <w:spacing w:after="0" w:line="237" w:lineRule="auto"/>
        <w:rPr>
          <w:sz w:val="20"/>
          <w:szCs w:val="20"/>
          <w:color w:val="auto"/>
        </w:rPr>
      </w:pPr>
      <w:r>
        <w:rPr>
          <w:rFonts w:ascii="Arial" w:cs="Arial" w:eastAsia="Arial" w:hAnsi="Arial"/>
          <w:sz w:val="30"/>
          <w:szCs w:val="30"/>
          <w:b w:val="1"/>
          <w:bCs w:val="1"/>
          <w:color w:val="auto"/>
        </w:rPr>
        <w:t>9008855501</w:t>
      </w:r>
    </w:p>
    <w:p>
      <w:pPr>
        <w:spacing w:after="0" w:line="370" w:lineRule="exact"/>
        <w:rPr>
          <w:sz w:val="24"/>
          <w:szCs w:val="24"/>
          <w:color w:val="auto"/>
        </w:rPr>
      </w:pPr>
    </w:p>
    <w:p>
      <w:pPr>
        <w:sectPr>
          <w:pgSz w:w="11920" w:h="16841" w:orient="portrait"/>
          <w:cols w:equalWidth="0" w:num="2">
            <w:col w:w="8620" w:space="720"/>
            <w:col w:w="1840"/>
          </w:cols>
          <w:pgMar w:left="400" w:top="962" w:right="331" w:bottom="401" w:gutter="0" w:footer="0" w:header="0"/>
        </w:sectPr>
      </w:pPr>
    </w:p>
    <w:p>
      <w:pPr>
        <w:ind w:left="1740"/>
        <w:spacing w:after="0"/>
        <w:rPr>
          <w:sz w:val="20"/>
          <w:szCs w:val="20"/>
          <w:color w:val="auto"/>
        </w:rPr>
      </w:pPr>
      <w:r>
        <w:rPr>
          <w:rFonts w:ascii="Cambria" w:cs="Cambria" w:eastAsia="Cambria" w:hAnsi="Cambria"/>
          <w:sz w:val="28"/>
          <w:szCs w:val="28"/>
          <w:color w:val="231F20"/>
        </w:rPr>
        <w:t>FOR HEALTHY CITIES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-254000</wp:posOffset>
                </wp:positionH>
                <wp:positionV relativeFrom="paragraph">
                  <wp:posOffset>27940</wp:posOffset>
                </wp:positionV>
                <wp:extent cx="75603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60310" cy="4763"/>
                        </a:xfrm>
                        <a:prstGeom prst="line">
                          <a:avLst/>
                        </a:prstGeom>
                        <a:solidFill>
                          <a:srgbClr val="FFFFFF"/>
                        </a:solidFill>
                        <a:ln w="11430">
                          <a:solidFill>
                            <a:srgbClr val="231F2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2.2pt" to="575.3pt,2.2pt" o:allowincell="f" strokecolor="#231F20" strokeweight="0.9pt"/>
            </w:pict>
          </mc:Fallback>
        </mc:AlternateContent>
      </w:r>
    </w:p>
    <w:p>
      <w:pPr>
        <w:spacing w:after="0" w:line="96" w:lineRule="exact"/>
        <w:rPr>
          <w:sz w:val="24"/>
          <w:szCs w:val="24"/>
          <w:color w:val="auto"/>
        </w:rPr>
      </w:pPr>
    </w:p>
    <w:p>
      <w:pPr>
        <w:jc w:val="center"/>
        <w:ind w:right="20"/>
        <w:spacing w:after="0"/>
        <w:tabs>
          <w:tab w:leader="none" w:pos="160" w:val="left"/>
        </w:tabs>
        <w:rPr>
          <w:rFonts w:ascii="Arial" w:cs="Arial" w:eastAsia="Arial" w:hAnsi="Arial"/>
          <w:sz w:val="24"/>
          <w:szCs w:val="24"/>
          <w:b w:val="1"/>
          <w:bCs w:val="1"/>
          <w:color w:val="231F20"/>
        </w:rPr>
      </w:pPr>
      <w:r>
        <w:rPr>
          <w:rFonts w:ascii="Arial" w:cs="Arial" w:eastAsia="Arial" w:hAnsi="Arial"/>
          <w:sz w:val="24"/>
          <w:szCs w:val="24"/>
          <w:b w:val="1"/>
          <w:bCs w:val="1"/>
          <w:color w:val="231F20"/>
        </w:rPr>
        <w:t>www.growgreenconstructions.com</w:t>
        <w:tab/>
        <w:t xml:space="preserve">email : </w:t>
      </w:r>
      <w:hyperlink r:id="rId10">
        <w:r>
          <w:rPr>
            <w:rFonts w:ascii="Arial" w:cs="Arial" w:eastAsia="Arial" w:hAnsi="Arial"/>
            <w:sz w:val="24"/>
            <w:szCs w:val="24"/>
            <w:b w:val="1"/>
            <w:bCs w:val="1"/>
            <w:color w:val="231F20"/>
          </w:rPr>
          <w:t>anil@growgreenconstructions.com</w:t>
        </w:r>
      </w:hyperlink>
    </w:p>
    <w:p>
      <w:pPr>
        <w:spacing w:after="0" w:line="28"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231F20"/>
        </w:rPr>
        <w:t>Opp. Rural Police Station D.R ground, Chamundeshwari Nagar, Bannur Main Road, Mandya - 571 401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88265</wp:posOffset>
                </wp:positionV>
                <wp:extent cx="73158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315835" cy="4763"/>
                        </a:xfrm>
                        <a:prstGeom prst="line">
                          <a:avLst/>
                        </a:prstGeom>
                        <a:solidFill>
                          <a:srgbClr val="FFFFFF"/>
                        </a:solidFill>
                        <a:ln w="57784">
                          <a:solidFill>
                            <a:srgbClr val="BBBDC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6.95pt" to="575.55pt,6.95pt" o:allowincell="f" strokecolor="#BBBDC0" strokeweight="4.5499pt"/>
            </w:pict>
          </mc:Fallback>
        </mc:AlternateContent>
        <mc:AlternateContent>
          <mc:Choice Requires="wps">
            <w:drawing>
              <wp:anchor simplePos="0" relativeHeight="251657728" behindDoc="1" locked="0" layoutInCell="0" allowOverlap="1">
                <wp:simplePos x="0" y="0"/>
                <wp:positionH relativeFrom="column">
                  <wp:posOffset>-254000</wp:posOffset>
                </wp:positionH>
                <wp:positionV relativeFrom="paragraph">
                  <wp:posOffset>53975</wp:posOffset>
                </wp:positionV>
                <wp:extent cx="756031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60310" cy="4763"/>
                        </a:xfrm>
                        <a:prstGeom prst="line">
                          <a:avLst/>
                        </a:prstGeom>
                        <a:solidFill>
                          <a:srgbClr val="FFFFFF"/>
                        </a:solidFill>
                        <a:ln w="11430">
                          <a:solidFill>
                            <a:srgbClr val="231F2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4.25pt" to="575.3pt,4.25pt" o:allowincell="f" strokecolor="#231F20" strokeweight="0.9pt"/>
            </w:pict>
          </mc:Fallback>
        </mc:AlternateContent>
      </w:r>
    </w:p>
    <w:p>
      <w:pPr>
        <w:spacing w:after="0" w:line="374" w:lineRule="exact"/>
        <w:rPr>
          <w:sz w:val="24"/>
          <w:szCs w:val="24"/>
          <w:color w:val="auto"/>
        </w:rPr>
      </w:pPr>
    </w:p>
    <w:p>
      <w:pPr>
        <w:jc w:val="center"/>
        <w:spacing w:after="0"/>
        <w:rPr>
          <w:sz w:val="20"/>
          <w:szCs w:val="20"/>
          <w:color w:val="auto"/>
        </w:rPr>
      </w:pPr>
      <w:r>
        <w:rPr>
          <w:rFonts w:ascii="Arial Black" w:cs="Arial Black" w:eastAsia="Arial Black" w:hAnsi="Arial Black"/>
          <w:sz w:val="28"/>
          <w:szCs w:val="28"/>
          <w:b w:val="1"/>
          <w:bCs w:val="1"/>
          <w:u w:val="single" w:color="auto"/>
          <w:color w:val="FF0000"/>
        </w:rPr>
        <w:t>Basic Package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450215</wp:posOffset>
            </wp:positionH>
            <wp:positionV relativeFrom="paragraph">
              <wp:posOffset>182245</wp:posOffset>
            </wp:positionV>
            <wp:extent cx="5874385" cy="60960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5874385" cy="6096000"/>
                    </a:xfrm>
                    <a:prstGeom prst="rect">
                      <a:avLst/>
                    </a:prstGeom>
                    <a:noFill/>
                  </pic:spPr>
                </pic:pic>
              </a:graphicData>
            </a:graphic>
          </wp:anchor>
        </w:drawing>
      </w:r>
    </w:p>
    <w:p>
      <w:pPr>
        <w:spacing w:after="0" w:line="200" w:lineRule="exact"/>
        <w:rPr>
          <w:sz w:val="24"/>
          <w:szCs w:val="24"/>
          <w:color w:val="auto"/>
        </w:rPr>
      </w:pPr>
    </w:p>
    <w:p>
      <w:pPr>
        <w:spacing w:after="0" w:line="219" w:lineRule="exact"/>
        <w:rPr>
          <w:sz w:val="24"/>
          <w:szCs w:val="24"/>
          <w:color w:val="auto"/>
        </w:rPr>
      </w:pPr>
    </w:p>
    <w:p>
      <w:pPr>
        <w:ind w:left="700" w:right="420"/>
        <w:spacing w:after="0" w:line="196" w:lineRule="auto"/>
        <w:rPr>
          <w:sz w:val="20"/>
          <w:szCs w:val="20"/>
          <w:color w:val="auto"/>
        </w:rPr>
      </w:pPr>
      <w:r>
        <w:rPr>
          <w:rFonts w:ascii="Arial Black" w:cs="Arial Black" w:eastAsia="Arial Black" w:hAnsi="Arial Black"/>
          <w:sz w:val="24"/>
          <w:szCs w:val="24"/>
          <w:b w:val="1"/>
          <w:bCs w:val="1"/>
          <w:color w:val="00B050"/>
        </w:rPr>
        <w:t>Built up area (slab area to be measured) @180000/-per 100sft for all floors Including car parking</w:t>
      </w:r>
      <w:r>
        <w:rPr>
          <w:rFonts w:ascii="Times New Roman" w:cs="Times New Roman" w:eastAsia="Times New Roman" w:hAnsi="Times New Roman"/>
          <w:sz w:val="24"/>
          <w:szCs w:val="24"/>
          <w:color w:val="000000"/>
        </w:rPr>
        <w:t>.</w:t>
      </w:r>
    </w:p>
    <w:p>
      <w:pPr>
        <w:spacing w:after="0" w:line="304" w:lineRule="exact"/>
        <w:rPr>
          <w:sz w:val="24"/>
          <w:szCs w:val="24"/>
          <w:color w:val="auto"/>
        </w:rPr>
      </w:pPr>
    </w:p>
    <w:p>
      <w:pPr>
        <w:jc w:val="both"/>
        <w:ind w:left="700" w:right="1780"/>
        <w:spacing w:after="0" w:line="249" w:lineRule="auto"/>
        <w:rPr>
          <w:sz w:val="20"/>
          <w:szCs w:val="20"/>
          <w:color w:val="auto"/>
        </w:rPr>
      </w:pPr>
      <w:r>
        <w:rPr>
          <w:rFonts w:ascii="Times New Roman" w:cs="Times New Roman" w:eastAsia="Times New Roman" w:hAnsi="Times New Roman"/>
          <w:sz w:val="24"/>
          <w:szCs w:val="24"/>
          <w:b w:val="1"/>
          <w:bCs w:val="1"/>
          <w:u w:val="single" w:color="auto"/>
          <w:color w:val="auto"/>
        </w:rPr>
        <w:t>Foundation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Earthwork excavation SSM foundation as per design for framed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structure. PCC 1:4:8, Base concrete and PCC 1:3:6 plinth bed etc., all includes in foundation work.</w:t>
      </w:r>
    </w:p>
    <w:p>
      <w:pPr>
        <w:spacing w:after="0" w:line="200" w:lineRule="exact"/>
        <w:rPr>
          <w:sz w:val="24"/>
          <w:szCs w:val="24"/>
          <w:color w:val="auto"/>
        </w:rPr>
      </w:pPr>
    </w:p>
    <w:p>
      <w:pPr>
        <w:spacing w:after="0" w:line="365" w:lineRule="exact"/>
        <w:rPr>
          <w:sz w:val="24"/>
          <w:szCs w:val="24"/>
          <w:color w:val="auto"/>
        </w:rPr>
      </w:pPr>
    </w:p>
    <w:p>
      <w:pPr>
        <w:jc w:val="both"/>
        <w:ind w:left="700" w:right="1300"/>
        <w:spacing w:after="0"/>
        <w:rPr>
          <w:sz w:val="20"/>
          <w:szCs w:val="20"/>
          <w:color w:val="auto"/>
        </w:rPr>
      </w:pPr>
      <w:r>
        <w:rPr>
          <w:rFonts w:ascii="Times New Roman" w:cs="Times New Roman" w:eastAsia="Times New Roman" w:hAnsi="Times New Roman"/>
          <w:sz w:val="24"/>
          <w:szCs w:val="24"/>
          <w:b w:val="1"/>
          <w:bCs w:val="1"/>
          <w:u w:val="single" w:color="auto"/>
          <w:color w:val="auto"/>
        </w:rPr>
        <w:t>Super structure</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 Brick Masonry work for 9”</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thick walls with cement mortar 1:6</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4” thick walls with cement mortar 1:4 with brick masonry, ŖCC lintel for all the walls and chajjas/lofts as per normal provision, RCC slab of 5” thick as per structural design.</w:t>
      </w:r>
    </w:p>
    <w:p>
      <w:pPr>
        <w:spacing w:after="0" w:line="279" w:lineRule="exact"/>
        <w:rPr>
          <w:sz w:val="24"/>
          <w:szCs w:val="24"/>
          <w:color w:val="auto"/>
        </w:rPr>
      </w:pPr>
    </w:p>
    <w:p>
      <w:pPr>
        <w:ind w:left="800"/>
        <w:spacing w:after="0"/>
        <w:rPr>
          <w:sz w:val="20"/>
          <w:szCs w:val="20"/>
          <w:color w:val="auto"/>
        </w:rPr>
      </w:pPr>
      <w:r>
        <w:rPr>
          <w:rFonts w:ascii="Times New Roman" w:cs="Times New Roman" w:eastAsia="Times New Roman" w:hAnsi="Times New Roman"/>
          <w:sz w:val="24"/>
          <w:szCs w:val="24"/>
          <w:color w:val="auto"/>
        </w:rPr>
        <w:t>Lofts are at kitchen and bedrooms wherever applicable as per drg.(60mm thickness)</w:t>
      </w:r>
    </w:p>
    <w:p>
      <w:pPr>
        <w:spacing w:after="0" w:line="293" w:lineRule="exact"/>
        <w:rPr>
          <w:sz w:val="24"/>
          <w:szCs w:val="24"/>
          <w:color w:val="auto"/>
        </w:rPr>
      </w:pPr>
    </w:p>
    <w:p>
      <w:pPr>
        <w:ind w:left="700"/>
        <w:spacing w:after="0"/>
        <w:rPr>
          <w:sz w:val="20"/>
          <w:szCs w:val="20"/>
          <w:color w:val="auto"/>
        </w:rPr>
      </w:pPr>
      <w:r>
        <w:rPr>
          <w:rFonts w:ascii="Times New Roman" w:cs="Times New Roman" w:eastAsia="Times New Roman" w:hAnsi="Times New Roman"/>
          <w:sz w:val="24"/>
          <w:szCs w:val="24"/>
          <w:b w:val="1"/>
          <w:bCs w:val="1"/>
          <w:u w:val="single" w:color="auto"/>
          <w:color w:val="auto"/>
        </w:rPr>
        <w:t>Doors/Windows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Main door and Pooja door  Frames and shutters are Honne</w:t>
      </w:r>
    </w:p>
    <w:p>
      <w:pPr>
        <w:spacing w:after="0" w:line="19" w:lineRule="exact"/>
        <w:rPr>
          <w:sz w:val="24"/>
          <w:szCs w:val="24"/>
          <w:color w:val="auto"/>
        </w:rPr>
      </w:pPr>
    </w:p>
    <w:p>
      <w:pPr>
        <w:ind w:left="700" w:right="140"/>
        <w:spacing w:after="0" w:line="243" w:lineRule="auto"/>
        <w:rPr>
          <w:sz w:val="20"/>
          <w:szCs w:val="20"/>
          <w:color w:val="auto"/>
        </w:rPr>
      </w:pPr>
      <w:r>
        <w:rPr>
          <w:rFonts w:ascii="Times New Roman" w:cs="Times New Roman" w:eastAsia="Times New Roman" w:hAnsi="Times New Roman"/>
          <w:sz w:val="24"/>
          <w:szCs w:val="24"/>
          <w:color w:val="auto"/>
        </w:rPr>
        <w:t>wood and others doors frames are Neem wood and flush door shutters and windows frames with Neem wood and shutters with ulchi/Hercules Shutters including standard fittings(powder coated). Locks(Europa Ultra Lock for Main door and handle locks for bedroom doors).Grills for windows with12mm hexagonal MS rods horizontally and shall be embedded in the walls.</w:t>
      </w:r>
    </w:p>
    <w:p>
      <w:pPr>
        <w:spacing w:after="0" w:line="315" w:lineRule="exact"/>
        <w:rPr>
          <w:sz w:val="24"/>
          <w:szCs w:val="24"/>
          <w:color w:val="auto"/>
        </w:rPr>
      </w:pPr>
    </w:p>
    <w:p>
      <w:pPr>
        <w:ind w:left="700" w:right="1880"/>
        <w:spacing w:after="0" w:line="235" w:lineRule="auto"/>
        <w:rPr>
          <w:sz w:val="20"/>
          <w:szCs w:val="20"/>
          <w:color w:val="auto"/>
        </w:rPr>
      </w:pPr>
      <w:r>
        <w:rPr>
          <w:rFonts w:ascii="Times New Roman" w:cs="Times New Roman" w:eastAsia="Times New Roman" w:hAnsi="Times New Roman"/>
          <w:sz w:val="24"/>
          <w:szCs w:val="24"/>
          <w:b w:val="1"/>
          <w:bCs w:val="1"/>
          <w:color w:val="auto"/>
        </w:rPr>
        <w:t>Flooring</w:t>
      </w:r>
      <w:r>
        <w:rPr>
          <w:rFonts w:ascii="Times New Roman" w:cs="Times New Roman" w:eastAsia="Times New Roman" w:hAnsi="Times New Roman"/>
          <w:sz w:val="24"/>
          <w:szCs w:val="24"/>
          <w:color w:val="auto"/>
        </w:rPr>
        <w:t>:- Vetrified tile flooring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4”</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skirting including Glazed tiles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upto7.0feet Dadoing for all bathrooms,etc.,complete.</w:t>
      </w:r>
    </w:p>
    <w:p>
      <w:pPr>
        <w:spacing w:after="0" w:line="300" w:lineRule="exact"/>
        <w:rPr>
          <w:sz w:val="24"/>
          <w:szCs w:val="24"/>
          <w:color w:val="auto"/>
        </w:rPr>
      </w:pPr>
    </w:p>
    <w:p>
      <w:pPr>
        <w:jc w:val="both"/>
        <w:ind w:left="700" w:right="1900"/>
        <w:spacing w:after="0" w:line="238" w:lineRule="auto"/>
        <w:rPr>
          <w:sz w:val="20"/>
          <w:szCs w:val="20"/>
          <w:color w:val="auto"/>
        </w:rPr>
      </w:pPr>
      <w:r>
        <w:rPr>
          <w:rFonts w:ascii="Times New Roman" w:cs="Times New Roman" w:eastAsia="Times New Roman" w:hAnsi="Times New Roman"/>
          <w:sz w:val="24"/>
          <w:szCs w:val="24"/>
          <w:b w:val="1"/>
          <w:bCs w:val="1"/>
          <w:u w:val="single" w:color="auto"/>
          <w:color w:val="auto"/>
        </w:rPr>
        <w:t>Finishing</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Plastering inside walls and ceilings and outside sponze finishing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river sand and Painting inside walls and ceilings Asian paints(Premium emulsion) and outside ACE paint and for doors, windows, grills enamel paints.</w:t>
      </w:r>
    </w:p>
    <w:p>
      <w:pPr>
        <w:spacing w:after="0" w:line="302" w:lineRule="exact"/>
        <w:rPr>
          <w:sz w:val="24"/>
          <w:szCs w:val="24"/>
          <w:color w:val="auto"/>
        </w:rPr>
      </w:pPr>
    </w:p>
    <w:p>
      <w:pPr>
        <w:ind w:left="700" w:right="1720"/>
        <w:spacing w:after="0" w:line="237" w:lineRule="auto"/>
        <w:rPr>
          <w:sz w:val="20"/>
          <w:szCs w:val="20"/>
          <w:color w:val="auto"/>
        </w:rPr>
      </w:pPr>
      <w:r>
        <w:rPr>
          <w:rFonts w:ascii="Times New Roman" w:cs="Times New Roman" w:eastAsia="Times New Roman" w:hAnsi="Times New Roman"/>
          <w:sz w:val="24"/>
          <w:szCs w:val="24"/>
          <w:b w:val="1"/>
          <w:bCs w:val="1"/>
          <w:u w:val="single" w:color="auto"/>
          <w:color w:val="auto"/>
        </w:rPr>
        <w:t>Bathroom and Toilets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Flooring and wall Glazed tiles for bath upto 7.0ft ht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Fittings of standard make( ISI Standard Fittings ).</w:t>
      </w:r>
    </w:p>
    <w:p>
      <w:pPr>
        <w:spacing w:after="0" w:line="297" w:lineRule="exact"/>
        <w:rPr>
          <w:sz w:val="24"/>
          <w:szCs w:val="24"/>
          <w:color w:val="auto"/>
        </w:rPr>
      </w:pPr>
    </w:p>
    <w:p>
      <w:pPr>
        <w:jc w:val="both"/>
        <w:ind w:left="700" w:right="1300"/>
        <w:spacing w:after="0"/>
        <w:rPr>
          <w:sz w:val="20"/>
          <w:szCs w:val="20"/>
          <w:color w:val="auto"/>
        </w:rPr>
      </w:pPr>
      <w:r>
        <w:rPr>
          <w:rFonts w:ascii="Times New Roman" w:cs="Times New Roman" w:eastAsia="Times New Roman" w:hAnsi="Times New Roman"/>
          <w:sz w:val="24"/>
          <w:szCs w:val="24"/>
          <w:b w:val="1"/>
          <w:bCs w:val="1"/>
          <w:u w:val="single" w:color="auto"/>
          <w:color w:val="auto"/>
        </w:rPr>
        <w:t>Water supply &amp; Sanitary lines</w:t>
      </w:r>
      <w:r>
        <w:rPr>
          <w:rFonts w:ascii="Times New Roman" w:cs="Times New Roman" w:eastAsia="Times New Roman" w:hAnsi="Times New Roman"/>
          <w:sz w:val="24"/>
          <w:szCs w:val="24"/>
          <w:color w:val="auto"/>
        </w:rPr>
        <w:t>:- All water supply lines with CPVC pipes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Sanitary (Ashirvad) lines with PVC pipes(4kg/sqcm).1000ltrs PVC over head tank will be provided.</w:t>
      </w:r>
    </w:p>
    <w:p>
      <w:pPr>
        <w:spacing w:after="0" w:line="200" w:lineRule="exact"/>
        <w:rPr>
          <w:sz w:val="24"/>
          <w:szCs w:val="24"/>
          <w:color w:val="auto"/>
        </w:rPr>
      </w:pPr>
    </w:p>
    <w:p>
      <w:pPr>
        <w:spacing w:after="0" w:line="364" w:lineRule="exact"/>
        <w:rPr>
          <w:sz w:val="24"/>
          <w:szCs w:val="24"/>
          <w:color w:val="auto"/>
        </w:rPr>
      </w:pPr>
    </w:p>
    <w:p>
      <w:pPr>
        <w:ind w:left="700" w:right="1180"/>
        <w:spacing w:after="0" w:line="252" w:lineRule="auto"/>
        <w:rPr>
          <w:sz w:val="20"/>
          <w:szCs w:val="20"/>
          <w:color w:val="auto"/>
        </w:rPr>
      </w:pPr>
      <w:r>
        <w:rPr>
          <w:rFonts w:ascii="Times New Roman" w:cs="Times New Roman" w:eastAsia="Times New Roman" w:hAnsi="Times New Roman"/>
          <w:sz w:val="24"/>
          <w:szCs w:val="24"/>
          <w:b w:val="1"/>
          <w:bCs w:val="1"/>
          <w:u w:val="single" w:color="auto"/>
          <w:color w:val="auto"/>
        </w:rPr>
        <w:t>Electrical works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All as per normal provision with Lisha or equalent switches and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suitable box and frames. Wiring with Finolex or Anchor brands.(Lisha switches)</w:t>
      </w:r>
    </w:p>
    <w:p>
      <w:pPr>
        <w:spacing w:after="0" w:line="284" w:lineRule="exact"/>
        <w:rPr>
          <w:sz w:val="24"/>
          <w:szCs w:val="24"/>
          <w:color w:val="auto"/>
        </w:rPr>
      </w:pPr>
    </w:p>
    <w:p>
      <w:pPr>
        <w:ind w:left="700" w:right="1180"/>
        <w:spacing w:after="0" w:line="252" w:lineRule="auto"/>
        <w:rPr>
          <w:sz w:val="20"/>
          <w:szCs w:val="20"/>
          <w:color w:val="auto"/>
        </w:rPr>
      </w:pPr>
      <w:r>
        <w:rPr>
          <w:rFonts w:ascii="Times New Roman" w:cs="Times New Roman" w:eastAsia="Times New Roman" w:hAnsi="Times New Roman"/>
          <w:sz w:val="24"/>
          <w:szCs w:val="24"/>
          <w:b w:val="1"/>
          <w:bCs w:val="1"/>
          <w:u w:val="single" w:color="auto"/>
          <w:color w:val="auto"/>
        </w:rPr>
        <w:t>FABRICATION WORKS</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MS tubes will be provided for both sides of Staircase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railings with normal design, as well as main gate.</w:t>
      </w:r>
    </w:p>
    <w:p>
      <w:pPr>
        <w:spacing w:after="0" w:line="250" w:lineRule="exact"/>
        <w:rPr>
          <w:sz w:val="24"/>
          <w:szCs w:val="24"/>
          <w:color w:val="auto"/>
        </w:rPr>
      </w:pPr>
    </w:p>
    <w:p>
      <w:pPr>
        <w:ind w:left="700" w:right="1180" w:hanging="31"/>
        <w:spacing w:after="0" w:line="242" w:lineRule="auto"/>
        <w:rPr>
          <w:sz w:val="20"/>
          <w:szCs w:val="20"/>
          <w:color w:val="auto"/>
        </w:rPr>
      </w:pPr>
      <w:r>
        <w:rPr>
          <w:rFonts w:ascii="Times New Roman" w:cs="Times New Roman" w:eastAsia="Times New Roman" w:hAnsi="Times New Roman"/>
          <w:sz w:val="28"/>
          <w:szCs w:val="28"/>
          <w:b w:val="1"/>
          <w:bCs w:val="1"/>
          <w:u w:val="single" w:color="auto"/>
          <w:color w:val="auto"/>
        </w:rPr>
        <w:t>Sump:-</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4"/>
          <w:szCs w:val="24"/>
          <w:color w:val="auto"/>
        </w:rPr>
        <w:t>Earthwork excavation, Brick walls with 9” and 4” RCC slab Covering</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4"/>
          <w:szCs w:val="24"/>
          <w:color w:val="auto"/>
        </w:rPr>
        <w:t>including Smooth plastering. (Capacity 3000 ltrs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-253365</wp:posOffset>
            </wp:positionH>
            <wp:positionV relativeFrom="paragraph">
              <wp:posOffset>225425</wp:posOffset>
            </wp:positionV>
            <wp:extent cx="7563485" cy="381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7563485" cy="381635"/>
                    </a:xfrm>
                    <a:prstGeom prst="rect">
                      <a:avLst/>
                    </a:prstGeom>
                    <a:noFill/>
                  </pic:spPr>
                </pic:pic>
              </a:graphicData>
            </a:graphic>
          </wp:anchor>
        </w:drawing>
      </w:r>
    </w:p>
    <w:p>
      <w:pPr>
        <w:sectPr>
          <w:pgSz w:w="11920" w:h="16841" w:orient="portrait"/>
          <w:cols w:equalWidth="0" w:num="1">
            <w:col w:w="11180"/>
          </w:cols>
          <w:pgMar w:left="400" w:top="962" w:right="331" w:bottom="401" w:gutter="0" w:footer="0" w:header="0"/>
          <w:type w:val="continuous"/>
        </w:sectPr>
      </w:pPr>
    </w:p>
    <w:bookmarkStart w:id="1" w:name="page2"/>
    <w:bookmarkEnd w:id="1"/>
    <w:p>
      <w:pPr>
        <w:spacing w:after="0" w:line="387" w:lineRule="exact"/>
        <w:rPr>
          <w:sz w:val="20"/>
          <w:szCs w:val="20"/>
          <w:color w:val="auto"/>
        </w:rPr>
      </w:pPr>
    </w:p>
    <w:p>
      <w:pPr>
        <w:ind w:right="1180"/>
        <w:spacing w:after="0" w:line="235" w:lineRule="auto"/>
        <w:rPr>
          <w:sz w:val="20"/>
          <w:szCs w:val="20"/>
          <w:color w:val="auto"/>
        </w:rPr>
      </w:pPr>
      <w:r>
        <w:rPr>
          <w:rFonts w:ascii="Times New Roman" w:cs="Times New Roman" w:eastAsia="Times New Roman" w:hAnsi="Times New Roman"/>
          <w:sz w:val="24"/>
          <w:szCs w:val="24"/>
          <w:b w:val="1"/>
          <w:bCs w:val="1"/>
          <w:color w:val="auto"/>
        </w:rPr>
        <w:t>The below items are not included in the plinth area rate which shall be paid by the owner separately.</w:t>
      </w:r>
    </w:p>
    <w:p>
      <w:pPr>
        <w:spacing w:after="0" w:line="287" w:lineRule="exact"/>
        <w:rPr>
          <w:sz w:val="20"/>
          <w:szCs w:val="20"/>
          <w:color w:val="auto"/>
        </w:rPr>
      </w:pPr>
    </w:p>
    <w:p>
      <w:pPr>
        <w:ind w:left="720" w:hanging="333"/>
        <w:spacing w:after="0"/>
        <w:tabs>
          <w:tab w:leader="none" w:pos="720" w:val="left"/>
        </w:tabs>
        <w:numPr>
          <w:ilvl w:val="2"/>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departmental deposits and expenditures.</w:t>
      </w:r>
    </w:p>
    <w:p>
      <w:pPr>
        <w:spacing w:after="0" w:line="2" w:lineRule="exact"/>
        <w:rPr>
          <w:rFonts w:ascii="Times New Roman" w:cs="Times New Roman" w:eastAsia="Times New Roman" w:hAnsi="Times New Roman"/>
          <w:sz w:val="24"/>
          <w:szCs w:val="24"/>
          <w:color w:val="auto"/>
        </w:rPr>
      </w:pPr>
    </w:p>
    <w:p>
      <w:pPr>
        <w:ind w:left="700" w:hanging="323"/>
        <w:spacing w:after="0"/>
        <w:tabs>
          <w:tab w:leader="none" w:pos="700" w:val="left"/>
        </w:tabs>
        <w:numPr>
          <w:ilvl w:val="2"/>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4"/>
          <w:szCs w:val="24"/>
          <w:color w:val="auto"/>
        </w:rPr>
        <w:t>All Electrical fittings.(Bulb &amp; Fans)</w:t>
      </w:r>
    </w:p>
    <w:p>
      <w:pPr>
        <w:spacing w:after="0" w:line="17" w:lineRule="exact"/>
        <w:rPr>
          <w:rFonts w:ascii="Times New Roman" w:cs="Times New Roman" w:eastAsia="Times New Roman" w:hAnsi="Times New Roman"/>
          <w:sz w:val="22"/>
          <w:szCs w:val="22"/>
          <w:color w:val="auto"/>
        </w:rPr>
      </w:pPr>
    </w:p>
    <w:p>
      <w:pPr>
        <w:ind w:left="720" w:right="580" w:hanging="357"/>
        <w:spacing w:after="0" w:line="236" w:lineRule="auto"/>
        <w:tabs>
          <w:tab w:leader="none" w:pos="689"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Electrical meters and external connection, water meters and motor under ground cable laying for Electrical external connection ,panel boards, earthing etc.,</w:t>
      </w:r>
    </w:p>
    <w:p>
      <w:pPr>
        <w:spacing w:after="0" w:line="4" w:lineRule="exact"/>
        <w:rPr>
          <w:rFonts w:ascii="Times New Roman" w:cs="Times New Roman" w:eastAsia="Times New Roman" w:hAnsi="Times New Roman"/>
          <w:sz w:val="24"/>
          <w:szCs w:val="24"/>
          <w:color w:val="auto"/>
        </w:rPr>
      </w:pPr>
    </w:p>
    <w:p>
      <w:pPr>
        <w:ind w:left="700" w:hanging="328"/>
        <w:spacing w:after="0"/>
        <w:tabs>
          <w:tab w:leader="none" w:pos="70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Temporary power connection charges and water supply charges.</w:t>
      </w:r>
    </w:p>
    <w:p>
      <w:pPr>
        <w:spacing w:after="0" w:line="4" w:lineRule="exact"/>
        <w:rPr>
          <w:rFonts w:ascii="Times New Roman" w:cs="Times New Roman" w:eastAsia="Times New Roman" w:hAnsi="Times New Roman"/>
          <w:sz w:val="24"/>
          <w:szCs w:val="24"/>
          <w:color w:val="auto"/>
        </w:rPr>
      </w:pPr>
    </w:p>
    <w:p>
      <w:pPr>
        <w:ind w:left="720" w:hanging="338"/>
        <w:spacing w:after="0"/>
        <w:tabs>
          <w:tab w:leader="none" w:pos="720" w:val="left"/>
        </w:tabs>
        <w:numPr>
          <w:ilvl w:val="2"/>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fancy items, wall cladding, elevation treatment etc.,</w:t>
      </w:r>
    </w:p>
    <w:p>
      <w:pPr>
        <w:spacing w:after="0" w:line="5" w:lineRule="exact"/>
        <w:rPr>
          <w:rFonts w:ascii="Times New Roman" w:cs="Times New Roman" w:eastAsia="Times New Roman" w:hAnsi="Times New Roman"/>
          <w:sz w:val="24"/>
          <w:szCs w:val="24"/>
          <w:color w:val="auto"/>
        </w:rPr>
      </w:pPr>
    </w:p>
    <w:p>
      <w:pPr>
        <w:ind w:left="740" w:hanging="353"/>
        <w:spacing w:after="0"/>
        <w:tabs>
          <w:tab w:leader="none" w:pos="740" w:val="left"/>
        </w:tabs>
        <w:numPr>
          <w:ilvl w:val="2"/>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safety grills including painting charges,</w:t>
      </w:r>
    </w:p>
    <w:p>
      <w:pPr>
        <w:spacing w:after="0" w:line="24" w:lineRule="exact"/>
        <w:rPr>
          <w:rFonts w:ascii="Times New Roman" w:cs="Times New Roman" w:eastAsia="Times New Roman" w:hAnsi="Times New Roman"/>
          <w:sz w:val="24"/>
          <w:szCs w:val="24"/>
          <w:color w:val="auto"/>
        </w:rPr>
      </w:pPr>
    </w:p>
    <w:p>
      <w:pPr>
        <w:ind w:left="740" w:hanging="353"/>
        <w:spacing w:after="0"/>
        <w:tabs>
          <w:tab w:leader="none" w:pos="740" w:val="left"/>
        </w:tabs>
        <w:numPr>
          <w:ilvl w:val="2"/>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items other than the specified will be billed extra</w:t>
      </w:r>
    </w:p>
    <w:p>
      <w:pPr>
        <w:spacing w:after="0" w:line="36" w:lineRule="exact"/>
        <w:rPr>
          <w:rFonts w:ascii="Times New Roman" w:cs="Times New Roman" w:eastAsia="Times New Roman" w:hAnsi="Times New Roman"/>
          <w:sz w:val="24"/>
          <w:szCs w:val="24"/>
          <w:color w:val="auto"/>
        </w:rPr>
      </w:pPr>
    </w:p>
    <w:p>
      <w:pPr>
        <w:ind w:left="740" w:right="820" w:hanging="353"/>
        <w:spacing w:after="0" w:line="234" w:lineRule="auto"/>
        <w:tabs>
          <w:tab w:leader="none" w:pos="740" w:val="left"/>
        </w:tabs>
        <w:numPr>
          <w:ilvl w:val="2"/>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Above quote rates all as per architectural drawings only, if any changes will billed accordingly.</w:t>
      </w:r>
    </w:p>
    <w:p>
      <w:pPr>
        <w:spacing w:after="0" w:line="25" w:lineRule="exact"/>
        <w:rPr>
          <w:rFonts w:ascii="Times New Roman" w:cs="Times New Roman" w:eastAsia="Times New Roman" w:hAnsi="Times New Roman"/>
          <w:sz w:val="24"/>
          <w:szCs w:val="24"/>
          <w:color w:val="auto"/>
        </w:rPr>
      </w:pPr>
    </w:p>
    <w:p>
      <w:pPr>
        <w:ind w:left="760" w:hanging="328"/>
        <w:spacing w:after="0"/>
        <w:tabs>
          <w:tab w:leader="none" w:pos="760" w:val="left"/>
        </w:tabs>
        <w:numPr>
          <w:ilvl w:val="3"/>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Compound Wall : </w:t>
      </w:r>
      <w:r>
        <w:rPr>
          <w:rFonts w:ascii="Times New Roman" w:cs="Times New Roman" w:eastAsia="Times New Roman" w:hAnsi="Times New Roman"/>
          <w:sz w:val="24"/>
          <w:szCs w:val="24"/>
          <w:color w:val="auto"/>
        </w:rPr>
        <w:t>plastering, painting etc. All complete Rate Rs.1900/-per RFT.</w:t>
      </w:r>
    </w:p>
    <w:p>
      <w:pPr>
        <w:spacing w:after="0" w:line="2" w:lineRule="exact"/>
        <w:rPr>
          <w:rFonts w:ascii="Times New Roman" w:cs="Times New Roman" w:eastAsia="Times New Roman" w:hAnsi="Times New Roman"/>
          <w:sz w:val="24"/>
          <w:szCs w:val="24"/>
          <w:color w:val="auto"/>
        </w:rPr>
      </w:pPr>
    </w:p>
    <w:p>
      <w:pPr>
        <w:ind w:left="760" w:hanging="419"/>
        <w:spacing w:after="0"/>
        <w:tabs>
          <w:tab w:leader="none" w:pos="7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u w:val="single" w:color="auto"/>
          <w:color w:val="auto"/>
        </w:rPr>
        <w:t>Cleaning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2"/>
          <w:szCs w:val="22"/>
          <w:color w:val="auto"/>
        </w:rPr>
        <w:t>One time acid wash will be done by contractor side</w:t>
      </w:r>
    </w:p>
    <w:p>
      <w:pPr>
        <w:spacing w:after="0" w:line="237" w:lineRule="exact"/>
        <w:rPr>
          <w:rFonts w:ascii="Times New Roman" w:cs="Times New Roman" w:eastAsia="Times New Roman" w:hAnsi="Times New Roman"/>
          <w:sz w:val="24"/>
          <w:szCs w:val="24"/>
          <w:color w:val="auto"/>
        </w:rPr>
      </w:pPr>
    </w:p>
    <w:p>
      <w:pPr>
        <w:ind w:left="760" w:hanging="419"/>
        <w:spacing w:after="0"/>
        <w:tabs>
          <w:tab w:leader="none" w:pos="7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u w:val="single" w:color="auto"/>
          <w:color w:val="auto"/>
        </w:rPr>
        <w:t>Curing :</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Charged 5,000 Rs Per Month Extra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-1569720</wp:posOffset>
            </wp:positionV>
            <wp:extent cx="5543550" cy="60960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5543550" cy="6096000"/>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b w:val="1"/>
          <w:bCs w:val="1"/>
          <w:u w:val="single" w:color="auto"/>
          <w:color w:val="auto"/>
        </w:rPr>
        <w:t>OUR FREE SERVICES WITH CONSTRUCTION</w:t>
      </w:r>
    </w:p>
    <w:p>
      <w:pPr>
        <w:spacing w:after="0" w:line="200" w:lineRule="exact"/>
        <w:rPr>
          <w:sz w:val="20"/>
          <w:szCs w:val="20"/>
          <w:color w:val="auto"/>
        </w:rPr>
      </w:pPr>
    </w:p>
    <w:p>
      <w:pPr>
        <w:spacing w:after="0" w:line="230" w:lineRule="exact"/>
        <w:rPr>
          <w:sz w:val="20"/>
          <w:szCs w:val="20"/>
          <w:color w:val="auto"/>
        </w:rPr>
      </w:pPr>
    </w:p>
    <w:p>
      <w:pPr>
        <w:ind w:left="520"/>
        <w:spacing w:after="0"/>
        <w:rPr>
          <w:sz w:val="20"/>
          <w:szCs w:val="20"/>
          <w:color w:val="auto"/>
        </w:rPr>
      </w:pPr>
      <w:r>
        <w:rPr>
          <w:rFonts w:ascii="Times New Roman" w:cs="Times New Roman" w:eastAsia="Times New Roman" w:hAnsi="Times New Roman"/>
          <w:sz w:val="24"/>
          <w:szCs w:val="24"/>
          <w:b w:val="1"/>
          <w:bCs w:val="1"/>
          <w:color w:val="auto"/>
        </w:rPr>
        <w:t>1.</w:t>
      </w:r>
      <w:r>
        <w:rPr>
          <w:rFonts w:ascii="Times New Roman" w:cs="Times New Roman" w:eastAsia="Times New Roman" w:hAnsi="Times New Roman"/>
          <w:sz w:val="24"/>
          <w:szCs w:val="24"/>
          <w:color w:val="auto"/>
        </w:rPr>
        <w:t>GROUND WATER RECHARGE PIT (upto 8feet depth with 2.5 feet circular concrete rings)</w:t>
      </w:r>
    </w:p>
    <w:p>
      <w:pPr>
        <w:spacing w:after="0" w:line="79" w:lineRule="exact"/>
        <w:rPr>
          <w:sz w:val="20"/>
          <w:szCs w:val="20"/>
          <w:color w:val="auto"/>
        </w:rPr>
      </w:pPr>
    </w:p>
    <w:p>
      <w:pPr>
        <w:ind w:left="520"/>
        <w:spacing w:after="0"/>
        <w:rPr>
          <w:sz w:val="20"/>
          <w:szCs w:val="20"/>
          <w:color w:val="auto"/>
        </w:rPr>
      </w:pPr>
      <w:r>
        <w:rPr>
          <w:rFonts w:ascii="Times New Roman" w:cs="Times New Roman" w:eastAsia="Times New Roman" w:hAnsi="Times New Roman"/>
          <w:sz w:val="24"/>
          <w:szCs w:val="24"/>
          <w:b w:val="1"/>
          <w:bCs w:val="1"/>
          <w:color w:val="auto"/>
        </w:rPr>
        <w:t>2.</w:t>
      </w:r>
      <w:r>
        <w:rPr>
          <w:rFonts w:ascii="Times New Roman" w:cs="Times New Roman" w:eastAsia="Times New Roman" w:hAnsi="Times New Roman"/>
          <w:sz w:val="24"/>
          <w:szCs w:val="24"/>
          <w:color w:val="auto"/>
        </w:rPr>
        <w:t>TERRACE WATER PROOFING (only for mother slab)</w:t>
      </w:r>
    </w:p>
    <w:p>
      <w:pPr>
        <w:spacing w:after="0" w:line="32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b w:val="1"/>
          <w:bCs w:val="1"/>
          <w:u w:val="single" w:color="auto"/>
          <w:color w:val="auto"/>
        </w:rPr>
        <w:t>PAYMENT SCHEDULE</w:t>
      </w:r>
    </w:p>
    <w:p>
      <w:pPr>
        <w:spacing w:after="0" w:line="204" w:lineRule="exact"/>
        <w:rPr>
          <w:sz w:val="20"/>
          <w:szCs w:val="20"/>
          <w:color w:val="auto"/>
        </w:rPr>
      </w:pPr>
    </w:p>
    <w:p>
      <w:pPr>
        <w:ind w:left="1460" w:hanging="308"/>
        <w:spacing w:after="0"/>
        <w:tabs>
          <w:tab w:leader="none" w:pos="146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Advance 15% upto foundation .</w:t>
      </w:r>
    </w:p>
    <w:p>
      <w:pPr>
        <w:ind w:left="1460" w:hanging="308"/>
        <w:spacing w:after="0" w:line="213" w:lineRule="auto"/>
        <w:tabs>
          <w:tab w:leader="none" w:pos="146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foundation 15% upto slab level.</w:t>
      </w:r>
    </w:p>
    <w:p>
      <w:pPr>
        <w:ind w:left="1460" w:hanging="308"/>
        <w:spacing w:after="0" w:line="213" w:lineRule="auto"/>
        <w:tabs>
          <w:tab w:leader="none" w:pos="146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slab 15% upto Plastering.</w:t>
      </w:r>
    </w:p>
    <w:p>
      <w:pPr>
        <w:ind w:left="1520" w:hanging="368"/>
        <w:spacing w:after="0" w:line="213" w:lineRule="auto"/>
        <w:tabs>
          <w:tab w:leader="none" w:pos="152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plastering 15% upto flooring</w:t>
      </w:r>
    </w:p>
    <w:p>
      <w:pPr>
        <w:ind w:left="1460" w:hanging="308"/>
        <w:spacing w:after="0" w:line="232" w:lineRule="auto"/>
        <w:tabs>
          <w:tab w:leader="none" w:pos="146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flooring 20% upto painting and fixing of doors , windows</w:t>
      </w:r>
    </w:p>
    <w:p>
      <w:pPr>
        <w:spacing w:after="0" w:line="125" w:lineRule="exact"/>
        <w:rPr>
          <w:rFonts w:ascii="Symbol" w:cs="Symbol" w:eastAsia="Symbol" w:hAnsi="Symbol"/>
          <w:sz w:val="22"/>
          <w:szCs w:val="22"/>
          <w:color w:val="auto"/>
        </w:rPr>
      </w:pPr>
    </w:p>
    <w:p>
      <w:pPr>
        <w:ind w:left="1460" w:hanging="308"/>
        <w:spacing w:after="0"/>
        <w:tabs>
          <w:tab w:leader="none" w:pos="146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15% For Electrical switches and plumbing fittings and other finishing works.</w:t>
      </w:r>
    </w:p>
    <w:p>
      <w:pPr>
        <w:spacing w:after="0" w:line="126" w:lineRule="exact"/>
        <w:rPr>
          <w:rFonts w:ascii="Symbol" w:cs="Symbol" w:eastAsia="Symbol" w:hAnsi="Symbol"/>
          <w:sz w:val="22"/>
          <w:szCs w:val="22"/>
          <w:color w:val="auto"/>
        </w:rPr>
      </w:pPr>
    </w:p>
    <w:p>
      <w:pPr>
        <w:ind w:left="1420" w:hanging="268"/>
        <w:spacing w:after="0"/>
        <w:tabs>
          <w:tab w:leader="none" w:pos="1420" w:val="left"/>
        </w:tabs>
        <w:numPr>
          <w:ilvl w:val="0"/>
          <w:numId w:val="4"/>
        </w:numPr>
        <w:rPr>
          <w:rFonts w:ascii="Symbol" w:cs="Symbol" w:eastAsia="Symbol" w:hAnsi="Symbol"/>
          <w:sz w:val="22"/>
          <w:szCs w:val="22"/>
          <w:color w:val="auto"/>
        </w:rPr>
      </w:pPr>
      <w:r>
        <w:rPr>
          <w:rFonts w:ascii="Times New Roman" w:cs="Times New Roman" w:eastAsia="Times New Roman" w:hAnsi="Times New Roman"/>
          <w:sz w:val="22"/>
          <w:szCs w:val="22"/>
          <w:color w:val="auto"/>
        </w:rPr>
        <w:t>After House Warming 5%.</w:t>
      </w:r>
    </w:p>
    <w:p>
      <w:pPr>
        <w:spacing w:after="0" w:line="147"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13"/>
          <w:szCs w:val="13"/>
          <w:u w:val="single" w:color="auto"/>
          <w:color w:val="auto"/>
        </w:rPr>
        <w:t>TERMS &amp; CONDITIONS</w:t>
      </w:r>
      <w:r>
        <w:rPr>
          <w:rFonts w:ascii="Times New Roman" w:cs="Times New Roman" w:eastAsia="Times New Roman" w:hAnsi="Times New Roman"/>
          <w:sz w:val="13"/>
          <w:szCs w:val="13"/>
          <w:color w:val="auto"/>
        </w:rPr>
        <w:t xml:space="preserve"> :-</w:t>
      </w:r>
    </w:p>
    <w:p>
      <w:pPr>
        <w:spacing w:after="0" w:line="233" w:lineRule="exact"/>
        <w:rPr>
          <w:sz w:val="20"/>
          <w:szCs w:val="20"/>
          <w:color w:val="auto"/>
        </w:rPr>
      </w:pPr>
    </w:p>
    <w:p>
      <w:pPr>
        <w:ind w:left="920" w:hanging="353"/>
        <w:spacing w:after="0"/>
        <w:tabs>
          <w:tab w:leader="none" w:pos="920" w:val="left"/>
        </w:tabs>
        <w:numPr>
          <w:ilvl w:val="0"/>
          <w:numId w:val="5"/>
        </w:numPr>
        <w:rPr>
          <w:rFonts w:ascii="Wingdings" w:cs="Wingdings" w:eastAsia="Wingdings" w:hAnsi="Wingdings"/>
          <w:sz w:val="24"/>
          <w:szCs w:val="24"/>
          <w:color w:val="auto"/>
          <w:vertAlign w:val="superscript"/>
        </w:rPr>
      </w:pPr>
      <w:r>
        <w:rPr>
          <w:rFonts w:ascii="Times New Roman" w:cs="Times New Roman" w:eastAsia="Times New Roman" w:hAnsi="Times New Roman"/>
          <w:sz w:val="13"/>
          <w:szCs w:val="13"/>
          <w:color w:val="auto"/>
        </w:rPr>
        <w:t>THIS QUOTATION ONLY VALID FOR 3 MONTHS FROM THE DATE OF ISSUED.</w:t>
      </w:r>
    </w:p>
    <w:p>
      <w:pPr>
        <w:spacing w:after="0" w:line="111" w:lineRule="exact"/>
        <w:rPr>
          <w:rFonts w:ascii="Wingdings" w:cs="Wingdings" w:eastAsia="Wingdings" w:hAnsi="Wingdings"/>
          <w:sz w:val="24"/>
          <w:szCs w:val="24"/>
          <w:color w:val="auto"/>
          <w:vertAlign w:val="superscript"/>
        </w:rPr>
      </w:pPr>
    </w:p>
    <w:p>
      <w:pPr>
        <w:ind w:left="920" w:hanging="353"/>
        <w:spacing w:after="0" w:line="186" w:lineRule="auto"/>
        <w:tabs>
          <w:tab w:leader="none" w:pos="920" w:val="left"/>
        </w:tabs>
        <w:numPr>
          <w:ilvl w:val="0"/>
          <w:numId w:val="5"/>
        </w:numPr>
        <w:rPr>
          <w:rFonts w:ascii="Wingdings" w:cs="Wingdings" w:eastAsia="Wingdings" w:hAnsi="Wingdings"/>
          <w:sz w:val="16"/>
          <w:szCs w:val="16"/>
          <w:color w:val="auto"/>
          <w:vertAlign w:val="superscript"/>
        </w:rPr>
      </w:pPr>
      <w:r>
        <w:rPr>
          <w:rFonts w:ascii="Times New Roman" w:cs="Times New Roman" w:eastAsia="Times New Roman" w:hAnsi="Times New Roman"/>
          <w:sz w:val="10"/>
          <w:szCs w:val="10"/>
          <w:color w:val="auto"/>
        </w:rPr>
        <w:t>WORK WILL BE STOPPED TEMPORARILY, IF THE CLIENT HAS DELAYED THE PAYMENT AS PER PAYMENT SCHEDULE.</w:t>
      </w:r>
    </w:p>
    <w:p>
      <w:pPr>
        <w:spacing w:after="0" w:line="111" w:lineRule="exact"/>
        <w:rPr>
          <w:rFonts w:ascii="Wingdings" w:cs="Wingdings" w:eastAsia="Wingdings" w:hAnsi="Wingdings"/>
          <w:sz w:val="16"/>
          <w:szCs w:val="16"/>
          <w:color w:val="auto"/>
          <w:vertAlign w:val="superscript"/>
        </w:rPr>
      </w:pPr>
    </w:p>
    <w:p>
      <w:pPr>
        <w:ind w:left="920" w:hanging="353"/>
        <w:spacing w:after="0" w:line="186" w:lineRule="auto"/>
        <w:tabs>
          <w:tab w:leader="none" w:pos="920" w:val="left"/>
        </w:tabs>
        <w:numPr>
          <w:ilvl w:val="0"/>
          <w:numId w:val="5"/>
        </w:numPr>
        <w:rPr>
          <w:rFonts w:ascii="Wingdings" w:cs="Wingdings" w:eastAsia="Wingdings" w:hAnsi="Wingdings"/>
          <w:sz w:val="16"/>
          <w:szCs w:val="16"/>
          <w:color w:val="auto"/>
          <w:vertAlign w:val="superscript"/>
        </w:rPr>
      </w:pPr>
      <w:r>
        <w:rPr>
          <w:rFonts w:ascii="Times New Roman" w:cs="Times New Roman" w:eastAsia="Times New Roman" w:hAnsi="Times New Roman"/>
          <w:sz w:val="10"/>
          <w:szCs w:val="10"/>
          <w:color w:val="auto"/>
        </w:rPr>
        <w:t>IF THE CONSTRUCTION WORK IS DONE IN ANY ILLEAGAL PROPERTY , OWNER ONLY RESPONSIBLE FOR IT.</w:t>
      </w:r>
    </w:p>
    <w:p>
      <w:pPr>
        <w:spacing w:after="0" w:line="112" w:lineRule="exact"/>
        <w:rPr>
          <w:rFonts w:ascii="Wingdings" w:cs="Wingdings" w:eastAsia="Wingdings" w:hAnsi="Wingdings"/>
          <w:sz w:val="16"/>
          <w:szCs w:val="16"/>
          <w:color w:val="auto"/>
          <w:vertAlign w:val="superscript"/>
        </w:rPr>
      </w:pPr>
    </w:p>
    <w:p>
      <w:pPr>
        <w:ind w:left="920" w:hanging="353"/>
        <w:spacing w:after="0"/>
        <w:tabs>
          <w:tab w:leader="none" w:pos="920" w:val="left"/>
        </w:tabs>
        <w:numPr>
          <w:ilvl w:val="0"/>
          <w:numId w:val="5"/>
        </w:numPr>
        <w:rPr>
          <w:rFonts w:ascii="Wingdings" w:cs="Wingdings" w:eastAsia="Wingdings" w:hAnsi="Wingdings"/>
          <w:sz w:val="24"/>
          <w:szCs w:val="24"/>
          <w:color w:val="auto"/>
          <w:vertAlign w:val="superscript"/>
        </w:rPr>
      </w:pPr>
      <w:r>
        <w:rPr>
          <w:rFonts w:ascii="Times New Roman" w:cs="Times New Roman" w:eastAsia="Times New Roman" w:hAnsi="Times New Roman"/>
          <w:sz w:val="13"/>
          <w:szCs w:val="13"/>
          <w:color w:val="auto"/>
        </w:rPr>
        <w:t>IF ANY STAY ORDER COMES FROM THE COURT DURING CONSTRUCTION,. THE AMOUNT SHOULD BE GIVEN FROM THE OWNER TILL THE WORK DONE.</w:t>
      </w:r>
    </w:p>
    <w:p>
      <w:pPr>
        <w:spacing w:after="0" w:line="101" w:lineRule="exact"/>
        <w:rPr>
          <w:rFonts w:ascii="Wingdings" w:cs="Wingdings" w:eastAsia="Wingdings" w:hAnsi="Wingdings"/>
          <w:sz w:val="24"/>
          <w:szCs w:val="24"/>
          <w:color w:val="auto"/>
          <w:vertAlign w:val="superscript"/>
        </w:rPr>
      </w:pPr>
    </w:p>
    <w:p>
      <w:pPr>
        <w:ind w:left="920" w:hanging="353"/>
        <w:spacing w:after="0" w:line="227" w:lineRule="auto"/>
        <w:tabs>
          <w:tab w:leader="none" w:pos="920" w:val="left"/>
        </w:tabs>
        <w:numPr>
          <w:ilvl w:val="0"/>
          <w:numId w:val="5"/>
        </w:numPr>
        <w:rPr>
          <w:rFonts w:ascii="Wingdings" w:cs="Wingdings" w:eastAsia="Wingdings" w:hAnsi="Wingdings"/>
          <w:sz w:val="24"/>
          <w:szCs w:val="24"/>
          <w:color w:val="auto"/>
          <w:vertAlign w:val="superscript"/>
        </w:rPr>
      </w:pPr>
      <w:r>
        <w:rPr>
          <w:rFonts w:ascii="Times New Roman" w:cs="Times New Roman" w:eastAsia="Times New Roman" w:hAnsi="Times New Roman"/>
          <w:sz w:val="13"/>
          <w:szCs w:val="13"/>
          <w:color w:val="auto"/>
        </w:rPr>
        <w:t>Negotiations are not allowed</w:t>
      </w:r>
    </w:p>
    <w:sectPr>
      <w:pgSz w:w="11920" w:h="16841" w:orient="portrait"/>
      <w:cols w:equalWidth="0" w:num="1">
        <w:col w:w="10340"/>
      </w:cols>
      <w:pgMar w:left="960" w:top="1440" w:right="6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tencil">
    <w:panose1 w:val="040409050D0802020404"/>
    <w:charset w:val="00"/>
    <w:family w:val="auto"/>
    <w:pitch w:val="variable"/>
    <w:sig w:usb0="00000003" w:usb1="00000000" w:usb2="00000000" w:usb3="00000000" w:csb0="20000001" w:csb1="00000000"/>
  </w:font>
  <w:font w:name="Arial">
    <w:panose1 w:val="020B0604020202020204"/>
    <w:charset w:val="00"/>
    <w:family w:val="swiss"/>
    <w:pitch w:val="variable"/>
    <w:sig w:usb0="E0002EFF" w:usb1="C0007843" w:usb2="00000009" w:usb3="00000000" w:csb0="400001FF" w:csb1="FFFF0000"/>
  </w:font>
  <w:font w:name="Arial Black">
    <w:panose1 w:val="020B0A04020102020204"/>
    <w:charset w:val="00"/>
    <w:family w:val="swiss"/>
    <w:pitch w:val="variable"/>
    <w:sig w:usb0="A00002AF" w:usb1="400078FB" w:usb2="00000000" w:usb3="00000000" w:csb0="6000009F" w:csb1="DFD70000"/>
  </w:font>
  <w:font w:name="Symbol">
    <w:panose1 w:val="05050102010706020507"/>
    <w:charset w:val="00"/>
    <w:family w:val="auto"/>
    <w:pitch w:val="variable"/>
    <w:sig w:usb0="00000000" w:usb1="00000000" w:usb2="00000000" w:usb3="00000000" w:csb0="80000000" w:csb1="0000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lvl w:ilvl="1">
      <w:lvlJc w:val="left"/>
      <w:lvlText w:val="%2"/>
      <w:numFmt w:val="decimal"/>
      <w:start w:val="1"/>
    </w:lvl>
    <w:lvl w:ilvl="2">
      <w:lvlJc w:val="left"/>
      <w:lvlText w:val="%3."/>
      <w:numFmt w:val="decimal"/>
      <w:start w:val="1"/>
    </w:lvl>
    <w:lvl w:ilvl="3">
      <w:lvlJc w:val="left"/>
      <w:lvlText w:val="%4"/>
      <w:numFmt w:val="decimal"/>
      <w:start w:val="1"/>
    </w:lvl>
  </w:abstractNum>
  <w:abstractNum w:abstractNumId="1">
    <w:nsid w:val="2AE8944A"/>
    <w:multiLevelType w:val="hybridMultilevel"/>
    <w:lvl w:ilvl="0">
      <w:lvlJc w:val="left"/>
      <w:lvlText w:val="%1"/>
      <w:numFmt w:val="decimal"/>
      <w:start w:val="1"/>
    </w:lvl>
    <w:lvl w:ilvl="1">
      <w:lvlJc w:val="left"/>
      <w:lvlText w:val="%2."/>
      <w:numFmt w:val="decimal"/>
      <w:start w:val="3"/>
    </w:lvl>
    <w:lvl w:ilvl="2">
      <w:lvlJc w:val="left"/>
      <w:lvlText w:val="%3."/>
      <w:numFmt w:val="decimal"/>
      <w:start w:val="5"/>
    </w:lvl>
    <w:lvl w:ilvl="3">
      <w:lvlJc w:val="left"/>
      <w:lvlText w:val="%4."/>
      <w:numFmt w:val="decimal"/>
      <w:start w:val="9"/>
    </w:lvl>
  </w:abstractNum>
  <w:abstractNum w:abstractNumId="2">
    <w:nsid w:val="625558EC"/>
    <w:multiLevelType w:val="hybridMultilevel"/>
    <w:lvl w:ilvl="0">
      <w:lvlJc w:val="left"/>
      <w:lvlText w:val="%1."/>
      <w:numFmt w:val="decimal"/>
      <w:start w:val="10"/>
    </w:lvl>
    <w:lvl w:ilvl="1">
      <w:lvlJc w:val="left"/>
      <w:lvlText w:val="%2"/>
      <w:numFmt w:val="decimal"/>
      <w:start w:val="1"/>
    </w:lvl>
    <w:lvl w:ilvl="2">
      <w:lvlJc w:val="left"/>
      <w:lvlText w:val="%3"/>
      <w:numFmt w:val="decimal"/>
      <w:start w:val="1"/>
    </w:lvl>
    <w:lvl w:ilvl="3">
      <w:lvlJc w:val="left"/>
      <w:lvlText w:val="%4"/>
      <w:numFmt w:val="decimal"/>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0" Type="http://schemas.openxmlformats.org/officeDocument/2006/relationships/hyperlink" Target="mailto:anil@growgreenconstructions.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2021-12-13T12:24:47Z</dcterms:created>
  <dcterms:modified xsi:type="dcterms:W3CDTF">2021-12-13T12:24:47Z</dcterms:modified>
</cp:coreProperties>
</file>