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Unit 4 Ball Valve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SV-20260904-0142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conformed to SOP-VAL-002 with zero critical defects observed.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 measured at 96.5% (min: 95%)</w:t>
      </w:r>
    </w:p>
    <w:p>
      <w:pPr>
        <w:pStyle w:val="ListBullet"/>
      </w:pPr>
      <w:r>
        <w:t>Actuator torque within +-10% tolerance (48 N.m)</w:t>
      </w:r>
    </w:p>
    <w:p>
      <w:pPr>
        <w:pStyle w:val="ListBullet"/>
      </w:pPr>
      <w:r>
        <w:t>Body-to-bonnet joint: Zero visible leakage</w:t>
      </w:r>
    </w:p>
    <w:p>
      <w:pPr>
        <w:pStyle w:val="ListBullet"/>
      </w:pPr>
      <w:r>
        <w:t>Active pitting corrosion: 0.12mm (limit: 0.30mm)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SOP-VAL-002: Ball Valve Inspection v3.1</w:t>
      </w:r>
    </w:p>
    <w:p>
      <w:pPr>
        <w:pStyle w:val="Heading2"/>
      </w:pPr>
      <w:r>
        <w:t>Recommendation / Decision</w:t>
      </w:r>
    </w:p>
    <w:p>
      <w:r>
        <w:rPr>
          <w:b/>
        </w:rPr>
        <w:t>All equipment integrity criteria satisfied. Authorized for continued service.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