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Ball Valve Inspection Failure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SV-20260904-0920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Critical findings in ASSETINSPECTION LOG indicate valve non-compliance with optical telemetry from grounded_test_inspection.png.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Thickness: 9 mm (1.2% deviation from 95.0% minimum).</w:t>
      </w:r>
    </w:p>
    <w:p>
      <w:pPr>
        <w:pStyle w:val="ListBullet"/>
      </w:pPr>
      <w:r>
        <w:t>Actuator Torque: 68.5 N.m (exceeds 55.0 N.m limit).</w:t>
      </w:r>
    </w:p>
    <w:p>
      <w:pPr>
        <w:pStyle w:val="ListBullet"/>
      </w:pPr>
      <w:r>
        <w:t>Bonnet Flange Leakage: 7 drops/min (potential non-compliance).</w:t>
      </w:r>
    </w:p>
    <w:p>
      <w:pPr>
        <w:pStyle w:val="ListBullet"/>
      </w:pPr>
      <w:r>
        <w:t>Maximum Pitting Depth: 0.44mm (44% excess over permissible 0.30mm).</w:t>
      </w:r>
    </w:p>
    <w:p>
      <w:pPr>
        <w:pStyle w:val="ListBullet"/>
      </w:pPr>
      <w:r>
        <w:t>Disposition: Quarantine asset immediate.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Quarantine valve for immediate maintenance overhaul and recalibration.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