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Valve Inspection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Reviewed ASSETINSPECTION LOG and Vision Model Technical Assessment. Identified critical issues requiring attention.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1.2%</w:t>
      </w:r>
    </w:p>
    <w:p>
      <w:pPr>
        <w:pStyle w:val="ListBullet"/>
      </w:pPr>
      <w:r>
        <w:t>Actuator Torque: 68.5 N.m</w:t>
      </w:r>
    </w:p>
    <w:p>
      <w:pPr>
        <w:pStyle w:val="ListBullet"/>
      </w:pPr>
      <w:r>
        <w:t>Bonnet Flange Leakage: 7 drops/min</w:t>
      </w:r>
    </w:p>
    <w:p>
      <w:pPr>
        <w:pStyle w:val="ListBullet"/>
      </w:pPr>
      <w:r>
        <w:t>Maximum Pitting Depth: 0.44mm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Quarantine asset for immediate maintenance overhaul and flag for further inspection.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