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Valve Failure Critical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No.</w:t>
            </w:r>
          </w:p>
        </w:tc>
        <w:tc>
          <w:tcPr>
            <w:tcW w:type="dxa" w:w="4320"/>
          </w:tcPr>
          <w:p>
            <w:r>
              <w:t>SV-20260904-1404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320"/>
          </w:tcPr>
          <w:p>
            <w:r>
              <w:t>September 04,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4320"/>
          </w:tcPr>
          <w:p>
            <w:r>
              <w:t>Sovereign AI Agent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Access Level</w:t>
            </w:r>
          </w:p>
        </w:tc>
        <w:tc>
          <w:tcPr>
            <w:tcW w:type="dxa" w:w="4320"/>
          </w:tcPr>
          <w:p>
            <w:r>
              <w:t>PUBLIC</w:t>
            </w:r>
          </w:p>
        </w:tc>
      </w:tr>
    </w:tbl>
    <w:p/>
    <w:p>
      <w:pPr>
        <w:pStyle w:val="Heading2"/>
      </w:pPr>
      <w:r>
        <w:t>Executive Summary</w:t>
      </w:r>
    </w:p>
    <w:p>
      <w:r>
        <w:t>Critical findings in ASSETINSPECTION LOG: wall thickness deviates by +12.5%, actuator torque exceeds 55 N.m limit, bonnet leakage detected, and excessive pitting depth (+40.7% deviation). Immediate quarantine required.</w:t>
      </w:r>
    </w:p>
    <w:p>
      <w:pPr>
        <w:pStyle w:val="Heading2"/>
      </w:pPr>
      <w:r>
        <w:t>Key Findings</w:t>
      </w:r>
    </w:p>
    <w:p>
      <w:pPr>
        <w:pStyle w:val="ListBullet"/>
      </w:pPr>
      <w:r>
        <w:t>Wall Thickness: 9" (+1.2% deviation vs 95.0% minimum)</w:t>
      </w:r>
    </w:p>
    <w:p>
      <w:pPr>
        <w:pStyle w:val="ListBullet"/>
      </w:pPr>
      <w:r>
        <w:t>Actuator Torque: 68.5 N.m (&gt;55.0 N.m limit)</w:t>
      </w:r>
    </w:p>
    <w:p>
      <w:pPr>
        <w:pStyle w:val="ListBullet"/>
      </w:pPr>
      <w:r>
        <w:t>Bonnet Leakage: 7 drops/min observed</w:t>
      </w:r>
    </w:p>
    <w:p>
      <w:pPr>
        <w:pStyle w:val="ListBullet"/>
      </w:pPr>
      <w:r>
        <w:t>Pitting Depth: 0.44mm (&gt;0.30mm permissible)</w:t>
      </w:r>
    </w:p>
    <w:p>
      <w:pPr>
        <w:pStyle w:val="Heading2"/>
      </w:pPr>
      <w:r>
        <w:t>Source Documents Referenced</w:t>
      </w:r>
    </w:p>
    <w:p>
      <w:pPr>
        <w:pStyle w:val="ListBullet"/>
      </w:pPr>
      <w:r>
        <w:t>Field Inspection Deliverable / Uploaded Scan</w:t>
      </w:r>
    </w:p>
    <w:p>
      <w:pPr>
        <w:pStyle w:val="ListBullet"/>
      </w:pPr>
      <w:r>
        <w:t>Plant Operating Standard &amp; Tolerance Guidelines</w:t>
      </w:r>
    </w:p>
    <w:p>
      <w:pPr>
        <w:pStyle w:val="ListBullet"/>
      </w:pPr>
      <w:r>
        <w:t>CMMS Asset Verification Record</w:t>
      </w:r>
    </w:p>
    <w:p>
      <w:pPr>
        <w:pStyle w:val="Heading2"/>
      </w:pPr>
      <w:r>
        <w:t>Recommendation / Decision</w:t>
      </w:r>
    </w:p>
    <w:p>
      <w:r>
        <w:rPr>
          <w:b/>
        </w:rPr>
        <w:t>Activate emergency containment protocols; replace valve assembly; schedule recalibration and inspection schedule.</w:t>
      </w:r>
    </w:p>
    <w:p/>
    <w:p>
      <w:r>
        <w:t>Approved by: ________________________</w:t>
      </w:r>
    </w:p>
    <w:p>
      <w:r>
        <w:t>Signature:   ________________________</w:t>
      </w:r>
    </w:p>
    <w:p>
      <w:r>
        <w:t>Date:        September 04,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4"/>
      </w:rPr>
      <w:t>Generated by Sovereign AI Workbench — Air-gapped, on-device only.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88888"/>
        <w:sz w:val="16"/>
      </w:rPr>
      <w:t>SOVEREIGN —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