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Unit 4 Inspection Compliance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This document confirms that the recent plant inspection report complies with SOP-VAL-002, recommending continued operation.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Wall thickness measured at 96.5% of nominal (Acceptance minimum: 95%)</w:t>
      </w:r>
    </w:p>
    <w:p>
      <w:pPr>
        <w:pStyle w:val="ListBullet"/>
      </w:pPr>
      <w:r>
        <w:t>Actuator torque within +-10% nameplate tolerance (48 N.m measured vs 50 N.m rating)</w:t>
      </w:r>
    </w:p>
    <w:p>
      <w:pPr>
        <w:pStyle w:val="ListBullet"/>
      </w:pPr>
      <w:r>
        <w:t>Zero visible leakage detected at body-to-bonnet pressure joint</w:t>
      </w:r>
    </w:p>
    <w:p>
      <w:pPr>
        <w:pStyle w:val="ListBullet"/>
      </w:pPr>
      <w:r>
        <w:t>Maximum pitting depth measured at 0.12mm (Permissible threshold limit: 0.3mm)</w:t>
      </w:r>
    </w:p>
    <w:p>
      <w:pPr>
        <w:pStyle w:val="Heading2"/>
      </w:pPr>
      <w:r>
        <w:t>2. Standards &amp; Compliance Grounding</w:t>
      </w:r>
    </w:p>
    <w:p>
      <w:r>
        <w:t>Ultrasonic thickness measurements and torque records were cross-referenced against Plant Operating Standard SOP-VAL-002. Thickness meets Section 4.1 minimum criteria (&gt;95%), and actuator cycle torque is verified within normal operating boundaries (+-10%).</w:t>
      </w:r>
    </w:p>
    <w:p>
      <w:pPr>
        <w:pStyle w:val="Heading2"/>
      </w:pPr>
      <w:r>
        <w:t>3. Risk &amp; Environmental Integrity Assessment</w:t>
      </w:r>
    </w:p>
    <w:p>
      <w:r>
        <w:t>Visual leak-off testing confirmed zero fluid egress at pressure boundaries. Corrosion inspection revealed localized surface oxidation with a maximum pitting depth of 0.12mm, well beneath the critical degradation threshold of 0.30mm.</w:t>
      </w:r>
    </w:p>
    <w:p>
      <w:pPr>
        <w:pStyle w:val="Heading2"/>
      </w:pPr>
      <w:r>
        <w:t>Conclusion</w:t>
      </w:r>
    </w:p>
    <w:p>
      <w:r>
        <w:t>Inspection verified. Equipment integrity satisfies operational safety criteria. Authorized for continued plant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