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Product of 18168 and 16181</w:t>
      </w:r>
    </w:p>
    <w:p>
      <w:r>
        <w:t>Date: September 04, 2026</w:t>
      </w:r>
    </w:p>
    <w:p>
      <w:r>
        <w:t>Author: Sovereign AI</w:t>
      </w:r>
    </w:p>
    <w:p/>
    <w:p>
      <w:pPr>
        <w:pStyle w:val="Heading2"/>
      </w:pPr>
      <w:r>
        <w:t>Executive Summary</w:t>
      </w:r>
    </w:p>
    <w:p>
      <w:r>
        <w:t>Calculate the product of the numbers 18168 and 16181</w:t>
      </w:r>
    </w:p>
    <w:p>
      <w:pPr>
        <w:pStyle w:val="Heading2"/>
      </w:pPr>
      <w:r>
        <w:t>1. Technical Inspection Findings</w:t>
      </w:r>
    </w:p>
    <w:p>
      <w:pPr>
        <w:pStyle w:val="ListBullet"/>
      </w:pPr>
      <w:r>
        <w:t>18168 * 16181 = 293,968,808</w:t>
      </w:r>
    </w:p>
    <w:p>
      <w:pPr>
        <w:pStyle w:val="Heading2"/>
      </w:pPr>
      <w:r>
        <w:t>2. Standards &amp; Operational Grounding</w:t>
      </w:r>
    </w:p>
    <w:p>
      <w:r>
        <w:t>Documented findings evaluated against operating standards. Summary: Calculate the product of the numbers 18168 and 16181</w:t>
      </w:r>
    </w:p>
    <w:p>
      <w:pPr>
        <w:pStyle w:val="Heading2"/>
      </w:pPr>
      <w:r>
        <w:t>3. Risk Assessment &amp; Disposition</w:t>
      </w:r>
    </w:p>
    <w:p>
      <w:r>
        <w:t>Operational evaluation: Final product value: 293,968,808</w:t>
      </w:r>
    </w:p>
    <w:p>
      <w:pPr>
        <w:pStyle w:val="Heading2"/>
      </w:pPr>
      <w:r>
        <w:t>Conclusion</w:t>
      </w:r>
    </w:p>
    <w:p>
      <w:r>
        <w:t>Evaluation concluded. Recommendation: Final product value: 293,968,808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