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Valve Inspection Defect Report</w:t>
      </w:r>
    </w:p>
    <w:p>
      <w:r>
        <w:t>Date: September 05,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Telemetry readings from valve indicate compliance failures in wall thickness, actuator torque, and hydrostatic seal leakage.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Wall Thickness: 92.4% (FAIL - min 95.0%)</w:t>
      </w:r>
    </w:p>
    <w:p>
      <w:pPr>
        <w:pStyle w:val="ListBullet"/>
      </w:pPr>
      <w:r>
        <w:t>Actuator Torque: 62.0 N.m (FAIL - max 55.0 N.m)</w:t>
      </w:r>
    </w:p>
    <w:p>
      <w:pPr>
        <w:pStyle w:val="ListBullet"/>
      </w:pPr>
      <w:r>
        <w:t>Hydrostatic Seal Leakage: 5 drops/min</w:t>
      </w:r>
    </w:p>
    <w:p>
      <w:pPr>
        <w:pStyle w:val="Heading2"/>
      </w:pPr>
      <w:r>
        <w:t>2. Standards &amp; Operational Grounding</w:t>
      </w:r>
    </w:p>
    <w:p>
      <w:r>
        <w:t>Documented findings evaluated against operating standards. Summary: Telemetry readings from valve indicate compliance failures in wall thickness, actuator torque, and hydrostatic seal leakage.</w:t>
      </w:r>
    </w:p>
    <w:p>
      <w:pPr>
        <w:pStyle w:val="Heading2"/>
      </w:pPr>
      <w:r>
        <w:t>3. Risk Assessment &amp; Disposition</w:t>
      </w:r>
    </w:p>
    <w:p>
      <w:r>
        <w:t>Operational evaluation: Emergency valve replacement recommended due to critical non-compliance in wall thickness and actuator torque values.</w:t>
      </w:r>
    </w:p>
    <w:p>
      <w:pPr>
        <w:pStyle w:val="Heading2"/>
      </w:pPr>
      <w:r>
        <w:t>Conclusion</w:t>
      </w:r>
    </w:p>
    <w:p>
      <w:r>
        <w:t>Evaluation concluded. Recommendation: Emergency valve replacement recommended due to critical non-compliance in wall thickness and actuator torque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