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B8F48" w14:textId="4DB51878" w:rsidR="002771E7" w:rsidRPr="002771E7" w:rsidRDefault="002771E7" w:rsidP="002771E7">
      <w:bookmarkStart w:id="0" w:name="_GoBack"/>
      <w:bookmarkEnd w:id="0"/>
      <w:r w:rsidRPr="002771E7">
        <w:rPr>
          <w:color w:val="000000"/>
          <w:shd w:val="clear" w:color="auto" w:fill="FFFFFF"/>
        </w:rPr>
        <w:t>In order of Importance, list of 10 best papers of the applicant highlighting the important</w:t>
      </w:r>
      <w:r>
        <w:rPr>
          <w:color w:val="000000"/>
          <w:shd w:val="clear" w:color="auto" w:fill="FFFFFF"/>
        </w:rPr>
        <w:t xml:space="preserve"> </w:t>
      </w:r>
      <w:r w:rsidRPr="002771E7">
        <w:rPr>
          <w:color w:val="000000"/>
          <w:shd w:val="clear" w:color="auto" w:fill="FFFFFF"/>
        </w:rPr>
        <w:t>discoveries/contributions described in them briefly (Max: 1 MB)</w:t>
      </w:r>
    </w:p>
    <w:p w14:paraId="4E06C934" w14:textId="77777777" w:rsidR="002771E7" w:rsidRDefault="002771E7" w:rsidP="002771E7">
      <w:pPr>
        <w:tabs>
          <w:tab w:val="num" w:pos="644"/>
        </w:tabs>
        <w:ind w:left="644" w:hanging="360"/>
        <w:jc w:val="both"/>
      </w:pPr>
    </w:p>
    <w:p w14:paraId="71CA91BC" w14:textId="3778A064" w:rsidR="0019284A" w:rsidRPr="002771E7" w:rsidRDefault="002771E7" w:rsidP="002771E7">
      <w:pPr>
        <w:numPr>
          <w:ilvl w:val="0"/>
          <w:numId w:val="1"/>
        </w:numPr>
        <w:jc w:val="both"/>
      </w:pPr>
      <w:r w:rsidRPr="002771E7">
        <w:rPr>
          <w:rFonts w:ascii="Arial" w:eastAsia="Times" w:hAnsi="Arial" w:cs="Arial"/>
          <w:sz w:val="20"/>
          <w:szCs w:val="20"/>
          <w:lang w:val="en-US"/>
        </w:rPr>
        <w:t xml:space="preserve">Rizvi ZA, </w:t>
      </w:r>
      <w:proofErr w:type="spellStart"/>
      <w:r w:rsidRPr="002771E7">
        <w:rPr>
          <w:rFonts w:ascii="Arial" w:eastAsia="Times" w:hAnsi="Arial" w:cs="Arial"/>
          <w:sz w:val="20"/>
          <w:szCs w:val="20"/>
          <w:lang w:val="en-US"/>
        </w:rPr>
        <w:t>Dalal</w:t>
      </w:r>
      <w:proofErr w:type="spellEnd"/>
      <w:r w:rsidRPr="002771E7">
        <w:rPr>
          <w:rFonts w:ascii="Arial" w:eastAsia="Times" w:hAnsi="Arial" w:cs="Arial"/>
          <w:sz w:val="20"/>
          <w:szCs w:val="20"/>
          <w:lang w:val="en-US"/>
        </w:rPr>
        <w:t xml:space="preserve"> R, Sadhu S, Kumar Y, Kumar S, Gupta SK, </w:t>
      </w:r>
      <w:proofErr w:type="spellStart"/>
      <w:r w:rsidRPr="002771E7">
        <w:rPr>
          <w:rFonts w:ascii="Arial" w:eastAsia="Times" w:hAnsi="Arial" w:cs="Arial"/>
          <w:sz w:val="20"/>
          <w:szCs w:val="20"/>
          <w:lang w:val="en-US"/>
        </w:rPr>
        <w:t>Tripathy</w:t>
      </w:r>
      <w:proofErr w:type="spellEnd"/>
      <w:r w:rsidRPr="002771E7">
        <w:rPr>
          <w:rFonts w:ascii="Arial" w:eastAsia="Times" w:hAnsi="Arial" w:cs="Arial"/>
          <w:sz w:val="20"/>
          <w:szCs w:val="20"/>
          <w:lang w:val="en-US"/>
        </w:rPr>
        <w:t xml:space="preserve"> MR, Rathore DK, </w:t>
      </w:r>
      <w:r w:rsidRPr="002771E7">
        <w:rPr>
          <w:rFonts w:ascii="Arial" w:eastAsia="Times" w:hAnsi="Arial" w:cs="Arial"/>
          <w:b/>
          <w:sz w:val="20"/>
          <w:szCs w:val="20"/>
          <w:lang w:val="en-US"/>
        </w:rPr>
        <w:t>Awasthi A</w:t>
      </w:r>
      <w:r w:rsidRPr="002771E7">
        <w:rPr>
          <w:rFonts w:ascii="Arial" w:eastAsia="Times" w:hAnsi="Arial" w:cs="Arial"/>
          <w:sz w:val="20"/>
          <w:szCs w:val="20"/>
          <w:lang w:val="en-US"/>
        </w:rPr>
        <w:t xml:space="preserve">. High salt diet mediates interplay between NK cells and gut microbiota to induce potent tumor immunity. </w:t>
      </w:r>
      <w:r w:rsidRPr="002771E7">
        <w:rPr>
          <w:rFonts w:ascii="Arial" w:eastAsia="Times" w:hAnsi="Arial" w:cs="Arial"/>
          <w:b/>
          <w:sz w:val="20"/>
          <w:szCs w:val="20"/>
          <w:lang w:val="en-US"/>
        </w:rPr>
        <w:t>Science Advances</w:t>
      </w:r>
      <w:r w:rsidRPr="002771E7">
        <w:rPr>
          <w:rFonts w:ascii="Arial" w:eastAsia="Times" w:hAnsi="Arial" w:cs="Arial"/>
          <w:sz w:val="20"/>
          <w:szCs w:val="20"/>
          <w:lang w:val="en-US"/>
        </w:rPr>
        <w:t xml:space="preserve"> </w:t>
      </w:r>
      <w:r w:rsidRPr="002771E7">
        <w:rPr>
          <w:rFonts w:ascii="Arial" w:eastAsia="Times" w:hAnsi="Arial" w:cs="Arial"/>
          <w:b/>
          <w:sz w:val="20"/>
          <w:szCs w:val="20"/>
          <w:lang w:val="en-US"/>
        </w:rPr>
        <w:t>2021</w:t>
      </w:r>
      <w:r w:rsidRPr="002771E7">
        <w:rPr>
          <w:rFonts w:ascii="Arial" w:eastAsia="Times" w:hAnsi="Arial" w:cs="Arial"/>
          <w:b/>
          <w:color w:val="000000"/>
          <w:sz w:val="20"/>
          <w:szCs w:val="20"/>
          <w:lang w:val="en-US"/>
        </w:rPr>
        <w:t xml:space="preserve">, </w:t>
      </w:r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7(37):eabg5016. </w:t>
      </w:r>
      <w:proofErr w:type="spellStart"/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>doi</w:t>
      </w:r>
      <w:proofErr w:type="spellEnd"/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>: 10.1126/sciadv.abg5016.</w:t>
      </w:r>
    </w:p>
    <w:p w14:paraId="7908FD6A" w14:textId="77777777" w:rsidR="002771E7" w:rsidRDefault="002771E7" w:rsidP="002771E7">
      <w:pPr>
        <w:ind w:left="644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ADEC47" w14:textId="62318DAC" w:rsidR="002771E7" w:rsidRPr="002771E7" w:rsidRDefault="002771E7" w:rsidP="002771E7">
      <w:pPr>
        <w:ind w:left="644"/>
        <w:jc w:val="both"/>
        <w:rPr>
          <w:i/>
          <w:iCs/>
        </w:rPr>
      </w:pPr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In this publication, we have shown for the first time as to how table salt triggers </w:t>
      </w:r>
      <w:proofErr w:type="spellStart"/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tumor</w:t>
      </w:r>
      <w:proofErr w:type="spellEnd"/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immunity by enhancing anti-</w:t>
      </w:r>
      <w:proofErr w:type="spellStart"/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tumor</w:t>
      </w:r>
      <w:proofErr w:type="spellEnd"/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functions of NK cells</w:t>
      </w:r>
    </w:p>
    <w:p w14:paraId="296B78C2" w14:textId="1B0475C8" w:rsidR="002771E7" w:rsidRDefault="002771E7" w:rsidP="002771E7">
      <w:pPr>
        <w:jc w:val="both"/>
        <w:rPr>
          <w:rFonts w:ascii="Arial" w:hAnsi="Arial" w:cs="Arial"/>
          <w:sz w:val="20"/>
          <w:szCs w:val="20"/>
        </w:rPr>
      </w:pPr>
    </w:p>
    <w:p w14:paraId="1E22FEAF" w14:textId="2214ECCF" w:rsidR="002771E7" w:rsidRPr="002771E7" w:rsidRDefault="002771E7" w:rsidP="002771E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130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Roy, Rizvi ZA, Clarke A, Macdonald F, Pandey A, </w:t>
      </w:r>
      <w:proofErr w:type="spellStart"/>
      <w:r w:rsidRPr="00B130C8">
        <w:rPr>
          <w:rFonts w:ascii="Arial" w:hAnsi="Arial" w:cs="Arial"/>
          <w:color w:val="000000"/>
          <w:sz w:val="20"/>
          <w:szCs w:val="20"/>
          <w:shd w:val="clear" w:color="auto" w:fill="FFFFFF"/>
        </w:rPr>
        <w:t>Zaiss</w:t>
      </w:r>
      <w:proofErr w:type="spellEnd"/>
      <w:r w:rsidRPr="00B130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D, </w:t>
      </w:r>
      <w:proofErr w:type="spellStart"/>
      <w:r w:rsidRPr="00B130C8">
        <w:rPr>
          <w:rFonts w:ascii="Arial" w:hAnsi="Arial" w:cs="Arial"/>
          <w:color w:val="000000"/>
          <w:sz w:val="20"/>
          <w:szCs w:val="20"/>
          <w:shd w:val="clear" w:color="auto" w:fill="FFFFFF"/>
        </w:rPr>
        <w:t>Dr.</w:t>
      </w:r>
      <w:proofErr w:type="spellEnd"/>
      <w:r w:rsidRPr="00B130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Simon KA, </w:t>
      </w:r>
      <w:r w:rsidRPr="00B130C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Awasthi A</w:t>
      </w:r>
      <w:r w:rsidRPr="00B130C8">
        <w:rPr>
          <w:rFonts w:ascii="Arial" w:hAnsi="Arial" w:cs="Arial"/>
          <w:sz w:val="20"/>
          <w:szCs w:val="20"/>
        </w:rPr>
        <w:t xml:space="preserve">. </w:t>
      </w:r>
      <w:r w:rsidRPr="00B130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EGFR-HIF1α </w:t>
      </w:r>
      <w:proofErr w:type="spellStart"/>
      <w:r w:rsidRPr="00B130C8">
        <w:rPr>
          <w:rFonts w:ascii="Arial" w:hAnsi="Arial" w:cs="Arial"/>
          <w:color w:val="000000"/>
          <w:sz w:val="20"/>
          <w:szCs w:val="20"/>
          <w:shd w:val="clear" w:color="auto" w:fill="FFFFFF"/>
        </w:rPr>
        <w:t>signaling</w:t>
      </w:r>
      <w:proofErr w:type="spellEnd"/>
      <w:r w:rsidRPr="00B130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positively regulates the differentiation of IL-9 producing T helper cells. </w:t>
      </w:r>
      <w:r w:rsidRPr="00B130C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Nature Communication</w:t>
      </w:r>
      <w:r w:rsidRPr="00B130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130C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2021</w:t>
      </w:r>
      <w:r w:rsidRPr="00B130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F914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12(1):3182. </w:t>
      </w:r>
      <w:proofErr w:type="spellStart"/>
      <w:r w:rsidRPr="00F9147D">
        <w:rPr>
          <w:rFonts w:ascii="Arial" w:hAnsi="Arial" w:cs="Arial"/>
          <w:color w:val="000000"/>
          <w:sz w:val="20"/>
          <w:szCs w:val="20"/>
          <w:shd w:val="clear" w:color="auto" w:fill="FFFFFF"/>
        </w:rPr>
        <w:t>doi</w:t>
      </w:r>
      <w:proofErr w:type="spellEnd"/>
      <w:r w:rsidRPr="00F9147D">
        <w:rPr>
          <w:rFonts w:ascii="Arial" w:hAnsi="Arial" w:cs="Arial"/>
          <w:color w:val="000000"/>
          <w:sz w:val="20"/>
          <w:szCs w:val="20"/>
          <w:shd w:val="clear" w:color="auto" w:fill="FFFFFF"/>
        </w:rPr>
        <w:t>: 10.1038/s41467-021-23042-x</w:t>
      </w:r>
    </w:p>
    <w:p w14:paraId="17CD7534" w14:textId="4016019D" w:rsidR="002771E7" w:rsidRDefault="002771E7" w:rsidP="002771E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B880E86" w14:textId="47737AD0" w:rsidR="002771E7" w:rsidRPr="002771E7" w:rsidRDefault="002771E7" w:rsidP="002771E7">
      <w:pPr>
        <w:ind w:left="644"/>
        <w:jc w:val="both"/>
        <w:rPr>
          <w:i/>
          <w:iCs/>
        </w:rPr>
      </w:pPr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In this publication, we have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demonstrated</w:t>
      </w:r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for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the role Areg-EGFR-HIF1alpha in the differentiation and functions of Th9 cells and its anti-tumour functions. </w:t>
      </w:r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</w:p>
    <w:p w14:paraId="15274231" w14:textId="3F9151D9" w:rsidR="002771E7" w:rsidRDefault="002771E7" w:rsidP="002771E7">
      <w:pPr>
        <w:jc w:val="both"/>
      </w:pPr>
    </w:p>
    <w:p w14:paraId="7F212630" w14:textId="6723BE33" w:rsidR="002771E7" w:rsidRPr="002771E7" w:rsidRDefault="002771E7" w:rsidP="002771E7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6076D2">
        <w:rPr>
          <w:rFonts w:ascii="Arial" w:hAnsi="Arial" w:cs="Arial"/>
          <w:color w:val="000000"/>
          <w:sz w:val="20"/>
          <w:shd w:val="clear" w:color="auto" w:fill="FFFFFF"/>
        </w:rPr>
        <w:t xml:space="preserve">Malik S, Sadhu S, </w:t>
      </w:r>
      <w:proofErr w:type="spellStart"/>
      <w:r>
        <w:rPr>
          <w:rFonts w:ascii="Arial" w:hAnsi="Arial" w:cs="Arial"/>
          <w:color w:val="000000"/>
          <w:sz w:val="20"/>
          <w:shd w:val="clear" w:color="auto" w:fill="FFFFFF"/>
        </w:rPr>
        <w:t>Elesela</w:t>
      </w:r>
      <w:proofErr w:type="spellEnd"/>
      <w:r>
        <w:rPr>
          <w:rFonts w:ascii="Arial" w:hAnsi="Arial" w:cs="Arial"/>
          <w:color w:val="000000"/>
          <w:sz w:val="20"/>
          <w:shd w:val="clear" w:color="auto" w:fill="FFFFFF"/>
        </w:rPr>
        <w:t xml:space="preserve"> S, </w:t>
      </w:r>
      <w:r w:rsidRPr="006076D2">
        <w:rPr>
          <w:rFonts w:ascii="Arial" w:hAnsi="Arial" w:cs="Arial"/>
          <w:color w:val="000000"/>
          <w:sz w:val="20"/>
          <w:shd w:val="clear" w:color="auto" w:fill="FFFFFF"/>
        </w:rPr>
        <w:t xml:space="preserve">Pandey R, Rathod D, </w:t>
      </w:r>
      <w:proofErr w:type="spellStart"/>
      <w:r w:rsidRPr="006076D2">
        <w:rPr>
          <w:rFonts w:ascii="Arial" w:hAnsi="Arial" w:cs="Arial"/>
          <w:color w:val="000000"/>
          <w:sz w:val="20"/>
          <w:shd w:val="clear" w:color="auto" w:fill="FFFFFF"/>
        </w:rPr>
        <w:t>Amanpreet</w:t>
      </w:r>
      <w:proofErr w:type="spellEnd"/>
      <w:r w:rsidRPr="006076D2">
        <w:rPr>
          <w:rFonts w:ascii="Arial" w:hAnsi="Arial" w:cs="Arial"/>
          <w:color w:val="000000"/>
          <w:sz w:val="20"/>
          <w:shd w:val="clear" w:color="auto" w:fill="FFFFFF"/>
        </w:rPr>
        <w:t xml:space="preserve"> Chawla, Sharma D, Ghosh B,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 Ahuja V,</w:t>
      </w:r>
      <w:r w:rsidRPr="006076D2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Pr="006076D2">
        <w:rPr>
          <w:rFonts w:ascii="Arial" w:hAnsi="Arial" w:cs="Arial"/>
          <w:b/>
          <w:color w:val="000000"/>
          <w:sz w:val="20"/>
          <w:shd w:val="clear" w:color="auto" w:fill="FFFFFF"/>
        </w:rPr>
        <w:t>Awasthi A</w:t>
      </w:r>
      <w:r w:rsidRPr="006076D2">
        <w:rPr>
          <w:rFonts w:ascii="Arial" w:hAnsi="Arial" w:cs="Arial"/>
          <w:color w:val="000000"/>
          <w:sz w:val="20"/>
          <w:shd w:val="clear" w:color="auto" w:fill="FFFFFF"/>
        </w:rPr>
        <w:t xml:space="preserve">. Transcription factor Foxo1 essential for differentiation of IL-9+ T helper cells. </w:t>
      </w:r>
      <w:r w:rsidRPr="006076D2">
        <w:rPr>
          <w:rFonts w:ascii="Arial" w:hAnsi="Arial" w:cs="Arial"/>
          <w:b/>
          <w:color w:val="000000"/>
          <w:sz w:val="20"/>
          <w:shd w:val="clear" w:color="auto" w:fill="FFFFFF"/>
        </w:rPr>
        <w:t>Nature Communications 2017</w:t>
      </w:r>
      <w:r w:rsidRPr="006076D2">
        <w:rPr>
          <w:rFonts w:ascii="Arial" w:hAnsi="Arial" w:cs="Arial"/>
          <w:color w:val="000000"/>
          <w:sz w:val="20"/>
          <w:shd w:val="clear" w:color="auto" w:fill="FFFFFF"/>
        </w:rPr>
        <w:t xml:space="preserve">, </w:t>
      </w:r>
      <w:r w:rsidRPr="006076D2">
        <w:rPr>
          <w:rFonts w:ascii="Arial" w:hAnsi="Arial" w:cs="Arial"/>
          <w:b/>
          <w:sz w:val="20"/>
        </w:rPr>
        <w:t xml:space="preserve">8(1):815. </w:t>
      </w:r>
      <w:proofErr w:type="spellStart"/>
      <w:r w:rsidRPr="006076D2">
        <w:rPr>
          <w:rFonts w:ascii="Arial" w:hAnsi="Arial" w:cs="Arial"/>
          <w:b/>
          <w:sz w:val="20"/>
        </w:rPr>
        <w:t>doi</w:t>
      </w:r>
      <w:proofErr w:type="spellEnd"/>
      <w:r w:rsidRPr="006076D2">
        <w:rPr>
          <w:rFonts w:ascii="Arial" w:hAnsi="Arial" w:cs="Arial"/>
          <w:b/>
          <w:sz w:val="20"/>
        </w:rPr>
        <w:t>: 10.1038/s41467-017-00674-6.</w:t>
      </w:r>
    </w:p>
    <w:p w14:paraId="2E889286" w14:textId="77777777" w:rsidR="002771E7" w:rsidRDefault="002771E7" w:rsidP="002771E7">
      <w:pPr>
        <w:pStyle w:val="ListParagraph"/>
        <w:ind w:left="644"/>
        <w:jc w:val="both"/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1EC1A2DD" w14:textId="7F04DBF6" w:rsidR="002771E7" w:rsidRPr="002771E7" w:rsidRDefault="002771E7" w:rsidP="002771E7">
      <w:pPr>
        <w:pStyle w:val="ListParagraph"/>
        <w:ind w:left="644"/>
        <w:jc w:val="both"/>
        <w:rPr>
          <w:i/>
          <w:iCs/>
        </w:rPr>
      </w:pPr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 this publication, we have demonstrated for the role</w:t>
      </w:r>
      <w:r w:rsidR="00450564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of transcription factor,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Foxo1</w:t>
      </w:r>
      <w:r w:rsidR="00450564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, in the induction of IL-9-roducing T cells and its role in allergic inflammation.</w:t>
      </w:r>
    </w:p>
    <w:p w14:paraId="4573E9D5" w14:textId="77777777" w:rsidR="002771E7" w:rsidRPr="00450564" w:rsidRDefault="002771E7" w:rsidP="00450564">
      <w:pPr>
        <w:rPr>
          <w:rFonts w:ascii="Arial" w:hAnsi="Arial" w:cs="Arial"/>
          <w:sz w:val="20"/>
        </w:rPr>
      </w:pPr>
    </w:p>
    <w:p w14:paraId="27169A0E" w14:textId="4BED3AF1" w:rsidR="00450564" w:rsidRDefault="002771E7" w:rsidP="00450564">
      <w:pPr>
        <w:numPr>
          <w:ilvl w:val="0"/>
          <w:numId w:val="1"/>
        </w:numPr>
        <w:tabs>
          <w:tab w:val="left" w:pos="810"/>
        </w:tabs>
        <w:jc w:val="both"/>
        <w:rPr>
          <w:rFonts w:ascii="Arial" w:hAnsi="Arial"/>
          <w:sz w:val="20"/>
        </w:rPr>
      </w:pPr>
      <w:proofErr w:type="spellStart"/>
      <w:r w:rsidRPr="00CD491C">
        <w:rPr>
          <w:rFonts w:ascii="Arial" w:hAnsi="Arial"/>
          <w:sz w:val="20"/>
        </w:rPr>
        <w:t>Dardalhon</w:t>
      </w:r>
      <w:proofErr w:type="spellEnd"/>
      <w:r w:rsidRPr="00CD491C">
        <w:rPr>
          <w:rFonts w:ascii="Arial" w:hAnsi="Arial"/>
          <w:sz w:val="20"/>
        </w:rPr>
        <w:t xml:space="preserve"> V*, </w:t>
      </w:r>
      <w:r w:rsidRPr="00CD491C">
        <w:rPr>
          <w:rFonts w:ascii="Arial" w:hAnsi="Arial"/>
          <w:b/>
          <w:sz w:val="20"/>
        </w:rPr>
        <w:t>Awasthi A*,</w:t>
      </w:r>
      <w:r w:rsidRPr="00CD491C">
        <w:rPr>
          <w:rFonts w:ascii="Arial" w:hAnsi="Arial"/>
          <w:sz w:val="20"/>
        </w:rPr>
        <w:t xml:space="preserve"> </w:t>
      </w:r>
      <w:r w:rsidRPr="00CD491C">
        <w:rPr>
          <w:rFonts w:ascii="Arial" w:eastAsia="__" w:hAnsi="Arial"/>
          <w:color w:val="292929"/>
          <w:sz w:val="20"/>
        </w:rPr>
        <w:t>Kwon H</w:t>
      </w:r>
      <w:r w:rsidRPr="00CD491C">
        <w:rPr>
          <w:rFonts w:ascii="Arial" w:hAnsi="Arial"/>
          <w:sz w:val="20"/>
        </w:rPr>
        <w:t xml:space="preserve">, </w:t>
      </w:r>
      <w:proofErr w:type="spellStart"/>
      <w:r w:rsidRPr="00CD491C">
        <w:rPr>
          <w:rFonts w:ascii="Arial" w:hAnsi="Arial"/>
          <w:sz w:val="20"/>
        </w:rPr>
        <w:t>Galileos</w:t>
      </w:r>
      <w:proofErr w:type="spellEnd"/>
      <w:r w:rsidRPr="00CD491C">
        <w:rPr>
          <w:rFonts w:ascii="Arial" w:hAnsi="Arial"/>
          <w:sz w:val="20"/>
        </w:rPr>
        <w:t xml:space="preserve"> G, Gao W, Strom TB, </w:t>
      </w:r>
      <w:proofErr w:type="spellStart"/>
      <w:r w:rsidRPr="00CD491C">
        <w:rPr>
          <w:rFonts w:ascii="Arial" w:hAnsi="Arial"/>
          <w:sz w:val="20"/>
        </w:rPr>
        <w:t>Oukka</w:t>
      </w:r>
      <w:proofErr w:type="spellEnd"/>
      <w:r w:rsidRPr="00CD491C">
        <w:rPr>
          <w:rFonts w:ascii="Arial" w:hAnsi="Arial"/>
          <w:sz w:val="20"/>
        </w:rPr>
        <w:t xml:space="preserve"> M, </w:t>
      </w:r>
      <w:proofErr w:type="spellStart"/>
      <w:r w:rsidRPr="00CD491C">
        <w:rPr>
          <w:rFonts w:ascii="Arial" w:hAnsi="Arial"/>
          <w:sz w:val="20"/>
        </w:rPr>
        <w:t>Kuchroo</w:t>
      </w:r>
      <w:proofErr w:type="spellEnd"/>
      <w:r w:rsidRPr="00CD491C">
        <w:rPr>
          <w:rFonts w:ascii="Arial" w:hAnsi="Arial"/>
          <w:sz w:val="20"/>
        </w:rPr>
        <w:t xml:space="preserve"> VK. IL-4 inhibits TGF-</w:t>
      </w:r>
      <w:r w:rsidRPr="00CD491C">
        <w:rPr>
          <w:rFonts w:ascii="Arial" w:hAnsi="Arial" w:hint="eastAsia"/>
          <w:sz w:val="20"/>
        </w:rPr>
        <w:t>b</w:t>
      </w:r>
      <w:r w:rsidRPr="00CD491C">
        <w:rPr>
          <w:rFonts w:ascii="Arial" w:hAnsi="Arial"/>
          <w:sz w:val="20"/>
        </w:rPr>
        <w:t>-induced-Foxp3</w:t>
      </w:r>
      <w:r w:rsidRPr="00CD491C">
        <w:rPr>
          <w:rFonts w:ascii="Arial" w:hAnsi="Arial"/>
          <w:sz w:val="20"/>
          <w:vertAlign w:val="superscript"/>
        </w:rPr>
        <w:t>+</w:t>
      </w:r>
      <w:r w:rsidRPr="00CD491C">
        <w:rPr>
          <w:rFonts w:ascii="Arial" w:hAnsi="Arial"/>
          <w:sz w:val="20"/>
        </w:rPr>
        <w:t>T cells and generates a Foxp3</w:t>
      </w:r>
      <w:r w:rsidRPr="00CD491C">
        <w:rPr>
          <w:rFonts w:ascii="Arial" w:hAnsi="Arial"/>
          <w:sz w:val="20"/>
          <w:vertAlign w:val="superscript"/>
        </w:rPr>
        <w:t>-</w:t>
      </w:r>
      <w:r w:rsidRPr="00CD491C">
        <w:rPr>
          <w:rFonts w:ascii="Arial" w:hAnsi="Arial"/>
          <w:sz w:val="20"/>
        </w:rPr>
        <w:t xml:space="preserve"> IL-10/IL-9 T cell population. </w:t>
      </w:r>
      <w:r w:rsidRPr="00CD491C">
        <w:rPr>
          <w:rFonts w:ascii="Arial" w:hAnsi="Arial"/>
          <w:b/>
          <w:sz w:val="20"/>
        </w:rPr>
        <w:t>Nature Immunology 2008; 9:1347-55</w:t>
      </w:r>
      <w:r w:rsidRPr="00CD491C">
        <w:rPr>
          <w:rFonts w:ascii="Arial" w:hAnsi="Arial"/>
          <w:sz w:val="20"/>
        </w:rPr>
        <w:t xml:space="preserve"> [*Equal first authorship]. </w:t>
      </w:r>
    </w:p>
    <w:p w14:paraId="0A92FC08" w14:textId="77777777" w:rsidR="00450564" w:rsidRDefault="00450564" w:rsidP="00450564">
      <w:pPr>
        <w:pStyle w:val="ListParagraph"/>
        <w:ind w:left="644"/>
        <w:jc w:val="both"/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4A617372" w14:textId="4DCFD162" w:rsidR="00450564" w:rsidRPr="002771E7" w:rsidRDefault="00450564" w:rsidP="00450564">
      <w:pPr>
        <w:pStyle w:val="ListParagraph"/>
        <w:ind w:left="644"/>
        <w:jc w:val="both"/>
        <w:rPr>
          <w:i/>
          <w:iCs/>
        </w:rPr>
      </w:pPr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 this publication, we have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shown for</w:t>
      </w:r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first time identified the differentiation factor, TGF-beta and IL-4, for the generation of Th9 cells and its role in causing inflammatory bowel disease and optic neuritis</w:t>
      </w:r>
    </w:p>
    <w:p w14:paraId="4C73AA6B" w14:textId="77777777" w:rsidR="002771E7" w:rsidRPr="00450564" w:rsidRDefault="002771E7" w:rsidP="00450564">
      <w:pPr>
        <w:rPr>
          <w:rFonts w:ascii="Arial" w:hAnsi="Arial"/>
          <w:sz w:val="20"/>
        </w:rPr>
      </w:pPr>
    </w:p>
    <w:p w14:paraId="6A343BC2" w14:textId="02567769" w:rsidR="002771E7" w:rsidRDefault="002771E7" w:rsidP="002771E7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Lee Y*,</w:t>
      </w:r>
      <w:r w:rsidRPr="00D35FEB">
        <w:rPr>
          <w:rFonts w:ascii="Arial" w:hAnsi="Arial"/>
          <w:b/>
          <w:sz w:val="20"/>
        </w:rPr>
        <w:t xml:space="preserve"> </w:t>
      </w:r>
      <w:r w:rsidRPr="00CF65AF">
        <w:rPr>
          <w:rFonts w:ascii="Arial" w:hAnsi="Arial"/>
          <w:b/>
          <w:sz w:val="20"/>
        </w:rPr>
        <w:t>Awasthi A</w:t>
      </w:r>
      <w:r>
        <w:rPr>
          <w:rFonts w:ascii="Arial" w:hAnsi="Arial"/>
          <w:sz w:val="20"/>
        </w:rPr>
        <w:t xml:space="preserve">*, Yosef N, Quintana F, Xiao S, </w:t>
      </w:r>
      <w:proofErr w:type="spellStart"/>
      <w:r>
        <w:rPr>
          <w:rFonts w:ascii="Arial" w:hAnsi="Arial"/>
          <w:sz w:val="20"/>
        </w:rPr>
        <w:t>Kunder</w:t>
      </w:r>
      <w:proofErr w:type="spellEnd"/>
      <w:r>
        <w:rPr>
          <w:rFonts w:ascii="Arial" w:hAnsi="Arial"/>
          <w:sz w:val="20"/>
        </w:rPr>
        <w:t xml:space="preserve"> S, Regev A, Sobel R, </w:t>
      </w:r>
      <w:proofErr w:type="spellStart"/>
      <w:r>
        <w:rPr>
          <w:rFonts w:ascii="Arial" w:hAnsi="Arial"/>
          <w:sz w:val="20"/>
        </w:rPr>
        <w:t>Kuchroo</w:t>
      </w:r>
      <w:proofErr w:type="spellEnd"/>
      <w:r>
        <w:rPr>
          <w:rFonts w:ascii="Arial" w:hAnsi="Arial"/>
          <w:sz w:val="20"/>
        </w:rPr>
        <w:t xml:space="preserve"> VK. Induction and molecular signature of pathogenic T</w:t>
      </w:r>
      <w:r w:rsidRPr="00CF65AF">
        <w:rPr>
          <w:rFonts w:ascii="Arial" w:hAnsi="Arial"/>
          <w:sz w:val="20"/>
          <w:vertAlign w:val="subscript"/>
        </w:rPr>
        <w:t>H</w:t>
      </w:r>
      <w:r>
        <w:rPr>
          <w:rFonts w:ascii="Arial" w:hAnsi="Arial"/>
          <w:sz w:val="20"/>
        </w:rPr>
        <w:t>17 cells.</w:t>
      </w:r>
      <w:r>
        <w:rPr>
          <w:rFonts w:ascii="Arial" w:hAnsi="Arial"/>
          <w:b/>
          <w:sz w:val="20"/>
        </w:rPr>
        <w:t xml:space="preserve"> Nature</w:t>
      </w:r>
      <w:r>
        <w:rPr>
          <w:rFonts w:ascii="Arial" w:hAnsi="Arial"/>
          <w:sz w:val="20"/>
        </w:rPr>
        <w:t xml:space="preserve"> </w:t>
      </w:r>
      <w:r w:rsidRPr="003741BE">
        <w:rPr>
          <w:rFonts w:ascii="Arial" w:hAnsi="Arial"/>
          <w:b/>
          <w:sz w:val="20"/>
        </w:rPr>
        <w:t xml:space="preserve">Immunology 2012; </w:t>
      </w:r>
      <w:r w:rsidRPr="003741BE">
        <w:rPr>
          <w:rFonts w:ascii="Arial" w:hAnsi="Arial" w:cs="Arial"/>
          <w:b/>
          <w:sz w:val="20"/>
        </w:rPr>
        <w:t>13:991-9</w:t>
      </w:r>
      <w:r>
        <w:rPr>
          <w:rFonts w:ascii="Arial" w:hAnsi="Arial"/>
          <w:sz w:val="20"/>
        </w:rPr>
        <w:t xml:space="preserve"> [</w:t>
      </w:r>
      <w:r w:rsidRPr="00631D50">
        <w:rPr>
          <w:rFonts w:ascii="Arial" w:hAnsi="Arial"/>
          <w:b/>
          <w:sz w:val="20"/>
        </w:rPr>
        <w:t>Shared first and</w:t>
      </w:r>
      <w:r>
        <w:rPr>
          <w:rFonts w:ascii="Arial" w:hAnsi="Arial"/>
          <w:sz w:val="20"/>
        </w:rPr>
        <w:t xml:space="preserve"> </w:t>
      </w:r>
      <w:r w:rsidRPr="00631D50">
        <w:rPr>
          <w:rFonts w:ascii="Arial" w:hAnsi="Arial"/>
          <w:b/>
          <w:sz w:val="20"/>
        </w:rPr>
        <w:t>Co-senior author</w:t>
      </w:r>
      <w:r>
        <w:rPr>
          <w:rFonts w:ascii="Arial" w:hAnsi="Arial"/>
          <w:sz w:val="20"/>
        </w:rPr>
        <w:t>].</w:t>
      </w:r>
    </w:p>
    <w:p w14:paraId="4A2FB75C" w14:textId="239A1174" w:rsidR="00450564" w:rsidRDefault="00450564" w:rsidP="00450564">
      <w:pPr>
        <w:jc w:val="both"/>
        <w:rPr>
          <w:rFonts w:ascii="Arial" w:hAnsi="Arial"/>
          <w:sz w:val="20"/>
        </w:rPr>
      </w:pPr>
    </w:p>
    <w:p w14:paraId="4F948379" w14:textId="53F5664D" w:rsidR="00450564" w:rsidRPr="002771E7" w:rsidRDefault="00450564" w:rsidP="00450564">
      <w:pPr>
        <w:pStyle w:val="ListParagraph"/>
        <w:ind w:left="644"/>
        <w:jc w:val="both"/>
        <w:rPr>
          <w:i/>
          <w:iCs/>
        </w:rPr>
      </w:pPr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 this publication, we have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demonstrated and identified the signature of pathogenic and non-pathogenic Th17 cells. Th17 cells were found to be associated with the induction of tissue inflammation in autoimmune diseases.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</w:p>
    <w:p w14:paraId="70E56607" w14:textId="77777777" w:rsidR="002771E7" w:rsidRPr="00450564" w:rsidRDefault="002771E7" w:rsidP="00450564">
      <w:pPr>
        <w:rPr>
          <w:rFonts w:ascii="Arial" w:hAnsi="Arial"/>
          <w:b/>
          <w:sz w:val="20"/>
        </w:rPr>
      </w:pPr>
    </w:p>
    <w:p w14:paraId="7D873FBB" w14:textId="6478DF50" w:rsidR="002771E7" w:rsidRPr="00450564" w:rsidRDefault="002771E7" w:rsidP="002771E7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2771E7">
        <w:rPr>
          <w:rFonts w:ascii="Arial" w:hAnsi="Arial"/>
          <w:b/>
          <w:sz w:val="20"/>
        </w:rPr>
        <w:t>Awasthi A</w:t>
      </w:r>
      <w:r w:rsidRPr="002771E7">
        <w:rPr>
          <w:rFonts w:ascii="Arial" w:hAnsi="Arial"/>
          <w:sz w:val="20"/>
        </w:rPr>
        <w:t xml:space="preserve">, Carrier Y, Peron JP, </w:t>
      </w:r>
      <w:proofErr w:type="spellStart"/>
      <w:r w:rsidRPr="002771E7">
        <w:rPr>
          <w:rFonts w:ascii="Arial" w:hAnsi="Arial"/>
          <w:sz w:val="20"/>
        </w:rPr>
        <w:t>Bettelli</w:t>
      </w:r>
      <w:proofErr w:type="spellEnd"/>
      <w:r w:rsidRPr="002771E7">
        <w:rPr>
          <w:rFonts w:ascii="Arial" w:hAnsi="Arial"/>
          <w:sz w:val="20"/>
        </w:rPr>
        <w:t xml:space="preserve"> E, </w:t>
      </w:r>
      <w:proofErr w:type="spellStart"/>
      <w:r w:rsidRPr="002771E7">
        <w:rPr>
          <w:rFonts w:ascii="Arial" w:hAnsi="Arial"/>
          <w:sz w:val="20"/>
        </w:rPr>
        <w:t>Kamanaka</w:t>
      </w:r>
      <w:proofErr w:type="spellEnd"/>
      <w:r w:rsidRPr="002771E7">
        <w:rPr>
          <w:rFonts w:ascii="Arial" w:hAnsi="Arial"/>
          <w:sz w:val="20"/>
        </w:rPr>
        <w:t xml:space="preserve"> M, Flavell RA, </w:t>
      </w:r>
      <w:proofErr w:type="spellStart"/>
      <w:r w:rsidRPr="002771E7">
        <w:rPr>
          <w:rFonts w:ascii="Arial" w:hAnsi="Arial"/>
          <w:sz w:val="20"/>
        </w:rPr>
        <w:t>Kuchroo</w:t>
      </w:r>
      <w:proofErr w:type="spellEnd"/>
      <w:r w:rsidRPr="002771E7">
        <w:rPr>
          <w:rFonts w:ascii="Arial" w:hAnsi="Arial"/>
          <w:sz w:val="20"/>
        </w:rPr>
        <w:t xml:space="preserve"> VK, </w:t>
      </w:r>
      <w:proofErr w:type="spellStart"/>
      <w:r w:rsidRPr="002771E7">
        <w:rPr>
          <w:rFonts w:ascii="Arial" w:hAnsi="Arial"/>
          <w:sz w:val="20"/>
        </w:rPr>
        <w:t>Oukka</w:t>
      </w:r>
      <w:proofErr w:type="spellEnd"/>
      <w:r w:rsidRPr="002771E7">
        <w:rPr>
          <w:rFonts w:ascii="Arial" w:hAnsi="Arial"/>
          <w:sz w:val="20"/>
        </w:rPr>
        <w:t xml:space="preserve"> M, Weiner HL. A dominant function for interleukin 27 in generating interleukin 10–producing anti-inflammatory T cells. </w:t>
      </w:r>
      <w:r w:rsidRPr="002771E7">
        <w:rPr>
          <w:rFonts w:ascii="Arial" w:hAnsi="Arial"/>
          <w:b/>
          <w:sz w:val="20"/>
        </w:rPr>
        <w:t xml:space="preserve">Nature Immunology 2007; 12:1380-9. </w:t>
      </w:r>
    </w:p>
    <w:p w14:paraId="0C1BE5D2" w14:textId="254C5007" w:rsidR="00450564" w:rsidRDefault="00450564" w:rsidP="00450564">
      <w:pPr>
        <w:ind w:left="644"/>
        <w:jc w:val="both"/>
        <w:rPr>
          <w:rFonts w:ascii="Arial" w:hAnsi="Arial"/>
          <w:b/>
          <w:sz w:val="20"/>
        </w:rPr>
      </w:pPr>
    </w:p>
    <w:p w14:paraId="2E02E909" w14:textId="147FF9E3" w:rsidR="00450564" w:rsidRPr="002771E7" w:rsidRDefault="00450564" w:rsidP="00450564">
      <w:pPr>
        <w:pStyle w:val="ListParagraph"/>
        <w:ind w:left="644"/>
        <w:jc w:val="both"/>
        <w:rPr>
          <w:i/>
          <w:iCs/>
        </w:rPr>
      </w:pPr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 this publication, we have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identified as to how IL-27 induces type 1 regulatory T cells (Tr1).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Tr1 cells produces copious amounts of anti-inflammatory cytokines, IL-10, which is crucial for maintaining immune homeostasis and regulating tissue inflammation in inflammatory diseases. </w:t>
      </w:r>
    </w:p>
    <w:p w14:paraId="48A4F1E7" w14:textId="77777777" w:rsidR="002771E7" w:rsidRPr="00450564" w:rsidRDefault="002771E7" w:rsidP="00450564">
      <w:pPr>
        <w:rPr>
          <w:rFonts w:ascii="Arial" w:eastAsia="Arial" w:hAnsi="Arial" w:cs="Arial"/>
          <w:color w:val="000000"/>
          <w:sz w:val="20"/>
          <w:szCs w:val="20"/>
          <w:lang w:val="en-GB"/>
        </w:rPr>
      </w:pPr>
    </w:p>
    <w:p w14:paraId="3FE37798" w14:textId="31292741" w:rsidR="002771E7" w:rsidRPr="000D25B1" w:rsidRDefault="002771E7" w:rsidP="002771E7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proofErr w:type="spellStart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>Thiruvengadam</w:t>
      </w:r>
      <w:proofErr w:type="spellEnd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 R, </w:t>
      </w:r>
      <w:r w:rsidRPr="002771E7">
        <w:rPr>
          <w:rFonts w:ascii="Arial" w:eastAsia="Arial" w:hAnsi="Arial" w:cs="Arial"/>
          <w:b/>
          <w:color w:val="000000"/>
          <w:sz w:val="20"/>
          <w:szCs w:val="20"/>
          <w:lang w:val="en-GB"/>
        </w:rPr>
        <w:t>Awasthi A</w:t>
      </w:r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, </w:t>
      </w:r>
      <w:proofErr w:type="spellStart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>Medigeshi</w:t>
      </w:r>
      <w:proofErr w:type="spellEnd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 GR, Bhattacharya S, Mani S, </w:t>
      </w:r>
      <w:proofErr w:type="spellStart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>Sivasubbu</w:t>
      </w:r>
      <w:proofErr w:type="spellEnd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 S, Shrivastava S, </w:t>
      </w:r>
      <w:proofErr w:type="spellStart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>Samal</w:t>
      </w:r>
      <w:proofErr w:type="spellEnd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 S, Murugesan DR, </w:t>
      </w:r>
      <w:proofErr w:type="spellStart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>Desiraju</w:t>
      </w:r>
      <w:proofErr w:type="spellEnd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 BK, </w:t>
      </w:r>
      <w:proofErr w:type="spellStart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>Kshetrapal</w:t>
      </w:r>
      <w:proofErr w:type="spellEnd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 P,</w:t>
      </w:r>
      <w:r w:rsidRPr="002771E7">
        <w:rPr>
          <w:rFonts w:ascii="Arial" w:hAnsi="Arial" w:cs="Arial"/>
          <w:color w:val="000000"/>
          <w:sz w:val="20"/>
          <w:szCs w:val="20"/>
          <w:lang w:val="en-GB"/>
        </w:rPr>
        <w:t xml:space="preserve"> Pandey R, </w:t>
      </w:r>
      <w:proofErr w:type="spellStart"/>
      <w:r w:rsidRPr="002771E7">
        <w:rPr>
          <w:rFonts w:ascii="Arial" w:hAnsi="Arial" w:cs="Arial"/>
          <w:color w:val="000000"/>
          <w:sz w:val="20"/>
          <w:szCs w:val="20"/>
          <w:lang w:val="en-GB"/>
        </w:rPr>
        <w:t>Scaria</w:t>
      </w:r>
      <w:proofErr w:type="spellEnd"/>
      <w:r w:rsidRPr="002771E7">
        <w:rPr>
          <w:rFonts w:ascii="Arial" w:hAnsi="Arial" w:cs="Arial"/>
          <w:color w:val="000000"/>
          <w:sz w:val="20"/>
          <w:szCs w:val="20"/>
          <w:lang w:val="en-GB"/>
        </w:rPr>
        <w:t xml:space="preserve"> V,</w:t>
      </w:r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 Malik PK, Taneja J, </w:t>
      </w:r>
      <w:proofErr w:type="spellStart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>Binayke</w:t>
      </w:r>
      <w:proofErr w:type="spellEnd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 A, Vohra T, Zaheer A, Rathore D, Khan NA, Shaman H, Ahmed S, Kumar R, Deshpande S, Subramani C, Wadhwa N, Gupta N, Pandey AK, Bhattacharya J, Agrawal A, </w:t>
      </w:r>
      <w:proofErr w:type="spellStart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>Vrati</w:t>
      </w:r>
      <w:proofErr w:type="spellEnd"/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 S, Bhatnagar S, Garg PK. </w:t>
      </w:r>
      <w:r w:rsidRPr="002771E7">
        <w:rPr>
          <w:rFonts w:ascii="Arial" w:eastAsia="Arial" w:hAnsi="Arial" w:cs="Arial"/>
          <w:bCs/>
          <w:sz w:val="20"/>
          <w:szCs w:val="20"/>
          <w:lang w:val="en-GB"/>
        </w:rPr>
        <w:t xml:space="preserve">Cellular Immune Responses are Preserved and may Contribute to Vaccine Effectiveness Despite Reduced Virus Neutralization Against Infection due to SARS-CoV-2 B.1.617.2 Variant. </w:t>
      </w:r>
      <w:r w:rsidRPr="002771E7">
        <w:rPr>
          <w:rFonts w:ascii="Arial" w:eastAsia="Arial" w:hAnsi="Arial" w:cs="Arial"/>
          <w:b/>
          <w:bCs/>
          <w:sz w:val="20"/>
          <w:szCs w:val="20"/>
          <w:lang w:val="en-GB"/>
        </w:rPr>
        <w:t>Lancet Infectious Disease 2021, accepted, in press</w:t>
      </w:r>
      <w:r w:rsidRPr="002771E7">
        <w:rPr>
          <w:rFonts w:ascii="Arial" w:eastAsia="Arial" w:hAnsi="Arial" w:cs="Arial"/>
          <w:color w:val="000000"/>
          <w:sz w:val="20"/>
          <w:szCs w:val="20"/>
          <w:lang w:val="en-GB"/>
        </w:rPr>
        <w:t xml:space="preserve"> </w:t>
      </w:r>
    </w:p>
    <w:p w14:paraId="3E33B66E" w14:textId="77777777" w:rsidR="000D25B1" w:rsidRDefault="000D25B1" w:rsidP="000D25B1">
      <w:pPr>
        <w:pStyle w:val="ListParagraph"/>
        <w:ind w:left="644"/>
        <w:jc w:val="both"/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12D3BC03" w14:textId="6E3787DE" w:rsidR="000D25B1" w:rsidRPr="000D25B1" w:rsidRDefault="000D25B1" w:rsidP="000D25B1">
      <w:pPr>
        <w:pStyle w:val="ListParagraph"/>
        <w:ind w:left="644"/>
        <w:jc w:val="both"/>
        <w:rPr>
          <w:i/>
          <w:iCs/>
        </w:rPr>
      </w:pPr>
      <w:r w:rsidRPr="002771E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 this publication, we have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identified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cellular immune response especially CD4 and CD8 T cell response is critical in controlling covid infection from wild type and delta variants in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covishield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vaccinated individuals. </w:t>
      </w:r>
    </w:p>
    <w:p w14:paraId="146FE6B3" w14:textId="77777777" w:rsidR="002771E7" w:rsidRDefault="002771E7" w:rsidP="002771E7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FD22904" w14:textId="76E20C2C" w:rsidR="002771E7" w:rsidRPr="00F77374" w:rsidRDefault="002771E7" w:rsidP="002771E7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proofErr w:type="spellStart"/>
      <w:r w:rsidRPr="002771E7">
        <w:rPr>
          <w:rFonts w:ascii="Arial" w:hAnsi="Arial" w:cs="Arial"/>
          <w:color w:val="222222"/>
          <w:sz w:val="20"/>
          <w:szCs w:val="20"/>
          <w:shd w:val="clear" w:color="auto" w:fill="FFFFFF"/>
        </w:rPr>
        <w:t>Sohail</w:t>
      </w:r>
      <w:proofErr w:type="spellEnd"/>
      <w:r w:rsidRPr="002771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Abbas ZA, Ahuja V, </w:t>
      </w:r>
      <w:r w:rsidRPr="002771E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Awasthi A*</w:t>
      </w:r>
      <w:r w:rsidRPr="002771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Srikanth CV. </w:t>
      </w:r>
      <w:proofErr w:type="spellStart"/>
      <w:r w:rsidRPr="002771E7">
        <w:rPr>
          <w:rFonts w:ascii="Arial" w:hAnsi="Arial" w:cs="Arial"/>
          <w:color w:val="222222"/>
          <w:sz w:val="20"/>
          <w:szCs w:val="20"/>
          <w:shd w:val="clear" w:color="auto" w:fill="FFFFFF"/>
        </w:rPr>
        <w:t>DeSUMOylase</w:t>
      </w:r>
      <w:proofErr w:type="spellEnd"/>
      <w:r w:rsidRPr="002771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SENP7 mediated epithelial signalling triggers intestinal inflammation via expansion of Gamma-delta T cell. </w:t>
      </w:r>
      <w:r w:rsidRPr="002771E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Cell Reps 2019</w:t>
      </w:r>
      <w:r w:rsidRPr="002771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Dec 10;29(11):3522-3538.e7. </w:t>
      </w:r>
      <w:proofErr w:type="spellStart"/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>doi</w:t>
      </w:r>
      <w:proofErr w:type="spellEnd"/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10.1016/j.celrep.2019.11.028. </w:t>
      </w:r>
      <w:r w:rsidRPr="002771E7">
        <w:rPr>
          <w:rFonts w:ascii="Arial" w:hAnsi="Arial" w:cs="Arial"/>
          <w:b/>
          <w:sz w:val="20"/>
          <w:lang w:eastAsia="zh-CN"/>
        </w:rPr>
        <w:t>(*</w:t>
      </w:r>
      <w:r w:rsidRPr="002771E7">
        <w:rPr>
          <w:rFonts w:ascii="Arial" w:hAnsi="Arial"/>
          <w:b/>
          <w:sz w:val="20"/>
        </w:rPr>
        <w:t>Co-corresponding author)</w:t>
      </w:r>
    </w:p>
    <w:p w14:paraId="58F9E281" w14:textId="77777777" w:rsidR="00F77374" w:rsidRPr="00F77374" w:rsidRDefault="00F77374" w:rsidP="00F77374">
      <w:pPr>
        <w:ind w:left="644"/>
        <w:jc w:val="both"/>
        <w:rPr>
          <w:rFonts w:ascii="Arial" w:hAnsi="Arial"/>
          <w:sz w:val="20"/>
        </w:rPr>
      </w:pPr>
    </w:p>
    <w:p w14:paraId="75182FAC" w14:textId="5B7F6DF5" w:rsidR="00F77374" w:rsidRPr="00F77374" w:rsidRDefault="00F77374" w:rsidP="00F77374">
      <w:pPr>
        <w:ind w:left="644"/>
        <w:jc w:val="both"/>
        <w:rPr>
          <w:i/>
          <w:iCs/>
        </w:rPr>
      </w:pPr>
      <w:r w:rsidRPr="00F77374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 this publication, we have identified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the role </w:t>
      </w:r>
      <w:proofErr w:type="spellStart"/>
      <w:r w:rsidR="007E53F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sumoylation</w:t>
      </w:r>
      <w:proofErr w:type="spellEnd"/>
      <w:r w:rsidR="007E53F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in epithelial cells in inflammatory bowel disease. We also found as to how </w:t>
      </w:r>
      <w:proofErr w:type="spellStart"/>
      <w:r w:rsidR="007E53F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sumoylation</w:t>
      </w:r>
      <w:proofErr w:type="spellEnd"/>
      <w:r w:rsidR="007E53F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leads to disbalance of gamma delta T cells functions that lead to tissue inflammation in inflammatory bowel disease.  </w:t>
      </w:r>
      <w:r w:rsidRPr="00F77374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</w:p>
    <w:p w14:paraId="3C7C8566" w14:textId="77777777" w:rsidR="002771E7" w:rsidRPr="007E53FB" w:rsidRDefault="002771E7" w:rsidP="007E53F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F54B9D0" w14:textId="5B65F093" w:rsidR="002771E7" w:rsidRPr="007E53FB" w:rsidRDefault="002771E7" w:rsidP="002771E7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Roy S, </w:t>
      </w:r>
      <w:r w:rsidRPr="002771E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Awasthi A.</w:t>
      </w:r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ATP Triggers Human Th9 Cell Differentiation via Nitric Oxide-Mediated mTOR-HIF1α Pathway. </w:t>
      </w:r>
      <w:r w:rsidRPr="002771E7">
        <w:rPr>
          <w:rStyle w:val="jrnl"/>
          <w:rFonts w:ascii="Arial" w:hAnsi="Arial" w:cs="Arial"/>
          <w:b/>
          <w:color w:val="000000"/>
          <w:sz w:val="20"/>
          <w:szCs w:val="20"/>
          <w:shd w:val="clear" w:color="auto" w:fill="FFFFFF"/>
        </w:rPr>
        <w:t>Front Immunol</w:t>
      </w:r>
      <w:r w:rsidRPr="002771E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2019, 10:1120. </w:t>
      </w:r>
      <w:proofErr w:type="spellStart"/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>doi</w:t>
      </w:r>
      <w:proofErr w:type="spellEnd"/>
      <w:r w:rsidRPr="002771E7">
        <w:rPr>
          <w:rFonts w:ascii="Arial" w:hAnsi="Arial" w:cs="Arial"/>
          <w:color w:val="000000"/>
          <w:sz w:val="20"/>
          <w:szCs w:val="20"/>
          <w:shd w:val="clear" w:color="auto" w:fill="FFFFFF"/>
        </w:rPr>
        <w:t>: 10.3389/fimmu.2019.01120.</w:t>
      </w:r>
    </w:p>
    <w:p w14:paraId="70CB234C" w14:textId="3C16157E" w:rsidR="007E53FB" w:rsidRDefault="007E53FB" w:rsidP="007E53FB">
      <w:pPr>
        <w:ind w:left="644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0A3CBF3" w14:textId="2F90EDDE" w:rsidR="007E53FB" w:rsidRPr="00F77374" w:rsidRDefault="007E53FB" w:rsidP="007E53FB">
      <w:pPr>
        <w:ind w:left="644"/>
        <w:jc w:val="both"/>
        <w:rPr>
          <w:i/>
          <w:iCs/>
        </w:rPr>
      </w:pPr>
      <w:r w:rsidRPr="00F77374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 this publication, we have identified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th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role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of cellular ATP and Nitric oxide-mediated activation of mTOR-HIF1 alpha pathway in the generation of human Th9 cells. Th9 cells are found to be critical for regulating the immune response in autoimmune, allergic diseases and cancers.</w:t>
      </w:r>
      <w:r w:rsidRPr="00F77374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</w:p>
    <w:p w14:paraId="30692D97" w14:textId="77777777" w:rsidR="002771E7" w:rsidRPr="007E53FB" w:rsidRDefault="002771E7" w:rsidP="007E53FB">
      <w:pPr>
        <w:rPr>
          <w:rFonts w:ascii="Arial" w:hAnsi="Arial"/>
          <w:b/>
          <w:sz w:val="20"/>
        </w:rPr>
      </w:pPr>
    </w:p>
    <w:p w14:paraId="1F5F1109" w14:textId="6ADE844D" w:rsidR="002771E7" w:rsidRPr="007E53FB" w:rsidRDefault="002771E7" w:rsidP="002771E7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2771E7">
        <w:rPr>
          <w:rFonts w:ascii="Arial" w:hAnsi="Arial"/>
          <w:b/>
          <w:sz w:val="20"/>
        </w:rPr>
        <w:t>Awasthi A</w:t>
      </w:r>
      <w:r w:rsidRPr="002771E7">
        <w:rPr>
          <w:rFonts w:ascii="Arial" w:hAnsi="Arial"/>
          <w:sz w:val="20"/>
        </w:rPr>
        <w:t>,</w:t>
      </w:r>
      <w:r w:rsidRPr="002771E7">
        <w:rPr>
          <w:rFonts w:ascii="Arial" w:hAnsi="Arial"/>
          <w:sz w:val="20"/>
          <w:u w:color="0000FF"/>
        </w:rPr>
        <w:t xml:space="preserve"> </w:t>
      </w:r>
      <w:proofErr w:type="spellStart"/>
      <w:r w:rsidRPr="002771E7">
        <w:rPr>
          <w:rFonts w:ascii="Arial" w:hAnsi="Arial"/>
          <w:sz w:val="20"/>
          <w:u w:color="0000FF"/>
        </w:rPr>
        <w:t>Riol</w:t>
      </w:r>
      <w:proofErr w:type="spellEnd"/>
      <w:r w:rsidRPr="002771E7">
        <w:rPr>
          <w:rFonts w:ascii="Arial" w:hAnsi="Arial"/>
          <w:sz w:val="20"/>
          <w:u w:color="0000FF"/>
        </w:rPr>
        <w:t xml:space="preserve">-Blanco L, </w:t>
      </w:r>
      <w:proofErr w:type="spellStart"/>
      <w:r w:rsidRPr="002771E7">
        <w:rPr>
          <w:rFonts w:ascii="Arial" w:hAnsi="Arial"/>
          <w:sz w:val="20"/>
        </w:rPr>
        <w:t>Jäger</w:t>
      </w:r>
      <w:proofErr w:type="spellEnd"/>
      <w:r w:rsidRPr="002771E7">
        <w:rPr>
          <w:rFonts w:ascii="Arial" w:hAnsi="Arial"/>
          <w:sz w:val="20"/>
        </w:rPr>
        <w:t xml:space="preserve"> A, Korn T, Pot C, </w:t>
      </w:r>
      <w:proofErr w:type="spellStart"/>
      <w:r w:rsidRPr="002771E7">
        <w:rPr>
          <w:rFonts w:ascii="Arial" w:hAnsi="Arial"/>
          <w:sz w:val="20"/>
        </w:rPr>
        <w:t>Galileos</w:t>
      </w:r>
      <w:proofErr w:type="spellEnd"/>
      <w:r w:rsidRPr="002771E7">
        <w:rPr>
          <w:rFonts w:ascii="Arial" w:hAnsi="Arial"/>
          <w:sz w:val="20"/>
        </w:rPr>
        <w:t xml:space="preserve"> G, </w:t>
      </w:r>
      <w:proofErr w:type="spellStart"/>
      <w:r w:rsidRPr="002771E7">
        <w:rPr>
          <w:rFonts w:ascii="Arial" w:hAnsi="Arial"/>
          <w:sz w:val="20"/>
        </w:rPr>
        <w:t>Bettelli</w:t>
      </w:r>
      <w:proofErr w:type="spellEnd"/>
      <w:r w:rsidRPr="002771E7">
        <w:rPr>
          <w:rFonts w:ascii="Arial" w:hAnsi="Arial"/>
          <w:sz w:val="20"/>
        </w:rPr>
        <w:t xml:space="preserve"> E, </w:t>
      </w:r>
      <w:proofErr w:type="spellStart"/>
      <w:r w:rsidRPr="002771E7">
        <w:rPr>
          <w:rFonts w:ascii="Arial" w:hAnsi="Arial"/>
          <w:sz w:val="20"/>
        </w:rPr>
        <w:t>Kuchroo</w:t>
      </w:r>
      <w:proofErr w:type="spellEnd"/>
      <w:r w:rsidRPr="002771E7">
        <w:rPr>
          <w:rFonts w:ascii="Arial" w:hAnsi="Arial"/>
          <w:sz w:val="20"/>
        </w:rPr>
        <w:t xml:space="preserve"> VK, </w:t>
      </w:r>
      <w:proofErr w:type="spellStart"/>
      <w:r w:rsidRPr="002771E7">
        <w:rPr>
          <w:rFonts w:ascii="Arial" w:hAnsi="Arial"/>
          <w:sz w:val="20"/>
        </w:rPr>
        <w:t>Oukka</w:t>
      </w:r>
      <w:proofErr w:type="spellEnd"/>
      <w:r w:rsidRPr="002771E7">
        <w:rPr>
          <w:rFonts w:ascii="Arial" w:hAnsi="Arial"/>
          <w:sz w:val="20"/>
        </w:rPr>
        <w:t xml:space="preserve"> M. Cutting Edge: IL-23 receptor reporter mice reveal distinct populations of IL-17 producing cells. </w:t>
      </w:r>
      <w:r w:rsidRPr="002771E7">
        <w:rPr>
          <w:rFonts w:ascii="Arial" w:hAnsi="Arial"/>
          <w:b/>
          <w:sz w:val="20"/>
        </w:rPr>
        <w:t>Cutting Edge:</w:t>
      </w:r>
      <w:r w:rsidRPr="002771E7">
        <w:rPr>
          <w:rFonts w:ascii="Arial" w:hAnsi="Arial"/>
          <w:sz w:val="20"/>
        </w:rPr>
        <w:t xml:space="preserve"> </w:t>
      </w:r>
      <w:r w:rsidRPr="002771E7">
        <w:rPr>
          <w:rFonts w:ascii="Arial" w:hAnsi="Arial"/>
          <w:b/>
          <w:sz w:val="20"/>
        </w:rPr>
        <w:t>Journal of Immunology 2009; 182: 5904-08.</w:t>
      </w:r>
    </w:p>
    <w:p w14:paraId="75867EB2" w14:textId="43B77544" w:rsidR="007E53FB" w:rsidRDefault="007E53FB" w:rsidP="007E53FB">
      <w:pPr>
        <w:jc w:val="both"/>
        <w:rPr>
          <w:rFonts w:ascii="Arial" w:hAnsi="Arial"/>
          <w:b/>
          <w:sz w:val="20"/>
        </w:rPr>
      </w:pPr>
    </w:p>
    <w:p w14:paraId="674A5A77" w14:textId="4414038A" w:rsidR="007E53FB" w:rsidRPr="00F77374" w:rsidRDefault="007E53FB" w:rsidP="007E53FB">
      <w:pPr>
        <w:ind w:left="644"/>
        <w:jc w:val="both"/>
        <w:rPr>
          <w:i/>
          <w:iCs/>
        </w:rPr>
      </w:pPr>
      <w:r w:rsidRPr="00F77374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In this publication, we have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generated IL-23 receptor knockout and IL-23R-GFP reporter mice to identify the role of IL-23-IL-23R signalling in the induction of EAE, a mouse model of human disease multiple sclerosis. In this paper we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idientified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the expression of IL-23R on various immune cells such as alpha beta T cells, gamma delta T cells, dendritic cells, macrophages and double negative T cells. Using the GWAS study, the role of IL-23-IL-23R was found to be associated with many autoimmune diseases like IBD, psoriasis, MS etc.</w:t>
      </w:r>
    </w:p>
    <w:p w14:paraId="701A7C41" w14:textId="77777777" w:rsidR="007E53FB" w:rsidRPr="002771E7" w:rsidRDefault="007E53FB" w:rsidP="007E53FB">
      <w:pPr>
        <w:jc w:val="both"/>
        <w:rPr>
          <w:rFonts w:ascii="Arial" w:hAnsi="Arial"/>
          <w:sz w:val="20"/>
        </w:rPr>
      </w:pPr>
    </w:p>
    <w:p w14:paraId="106575A6" w14:textId="77777777" w:rsidR="002771E7" w:rsidRPr="002771E7" w:rsidRDefault="002771E7" w:rsidP="002771E7">
      <w:pPr>
        <w:jc w:val="both"/>
        <w:rPr>
          <w:rFonts w:ascii="Arial" w:hAnsi="Arial" w:cs="Arial"/>
          <w:b/>
          <w:sz w:val="20"/>
          <w:szCs w:val="20"/>
        </w:rPr>
      </w:pPr>
    </w:p>
    <w:sectPr w:rsidR="002771E7" w:rsidRPr="002771E7" w:rsidSect="001941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__">
    <w:altName w:val="Arial Unicode MS"/>
    <w:panose1 w:val="020B0604020202020204"/>
    <w:charset w:val="81"/>
    <w:family w:val="modern"/>
    <w:notTrueType/>
    <w:pitch w:val="default"/>
    <w:sig w:usb0="01000000" w:usb1="00000609" w:usb2="1000000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563D1"/>
    <w:multiLevelType w:val="hybridMultilevel"/>
    <w:tmpl w:val="8162121A"/>
    <w:lvl w:ilvl="0" w:tplc="ABD0C81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D094A"/>
    <w:multiLevelType w:val="hybridMultilevel"/>
    <w:tmpl w:val="8162121A"/>
    <w:lvl w:ilvl="0" w:tplc="ABD0C81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CD320F"/>
    <w:multiLevelType w:val="hybridMultilevel"/>
    <w:tmpl w:val="8162121A"/>
    <w:lvl w:ilvl="0" w:tplc="ABD0C81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FA1A83"/>
    <w:multiLevelType w:val="hybridMultilevel"/>
    <w:tmpl w:val="8162121A"/>
    <w:lvl w:ilvl="0" w:tplc="ABD0C81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E7"/>
    <w:rsid w:val="000131EC"/>
    <w:rsid w:val="000D25B1"/>
    <w:rsid w:val="001941A3"/>
    <w:rsid w:val="002771E7"/>
    <w:rsid w:val="00385457"/>
    <w:rsid w:val="00402C06"/>
    <w:rsid w:val="00450564"/>
    <w:rsid w:val="00490397"/>
    <w:rsid w:val="004B3DA6"/>
    <w:rsid w:val="004C578C"/>
    <w:rsid w:val="005339C0"/>
    <w:rsid w:val="005A6A8E"/>
    <w:rsid w:val="006927A7"/>
    <w:rsid w:val="006A04A4"/>
    <w:rsid w:val="006E2441"/>
    <w:rsid w:val="006F2B46"/>
    <w:rsid w:val="00702076"/>
    <w:rsid w:val="00722656"/>
    <w:rsid w:val="007443FF"/>
    <w:rsid w:val="007455F4"/>
    <w:rsid w:val="007E53FB"/>
    <w:rsid w:val="007F47FE"/>
    <w:rsid w:val="00900563"/>
    <w:rsid w:val="009412E5"/>
    <w:rsid w:val="00992325"/>
    <w:rsid w:val="00AA526E"/>
    <w:rsid w:val="00AE7649"/>
    <w:rsid w:val="00B37100"/>
    <w:rsid w:val="00C51F27"/>
    <w:rsid w:val="00CD5F46"/>
    <w:rsid w:val="00D71D40"/>
    <w:rsid w:val="00DF4E64"/>
    <w:rsid w:val="00E532D6"/>
    <w:rsid w:val="00F54603"/>
    <w:rsid w:val="00F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B6FA2"/>
  <w15:chartTrackingRefBased/>
  <w15:docId w15:val="{86FB1548-6199-DE41-9E62-B082BC6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E7"/>
    <w:pPr>
      <w:ind w:left="720"/>
      <w:contextualSpacing/>
    </w:pPr>
  </w:style>
  <w:style w:type="character" w:customStyle="1" w:styleId="jrnl">
    <w:name w:val="jrnl"/>
    <w:rsid w:val="0027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2021-10-30T05:12:00Z</dcterms:created>
  <dcterms:modified xsi:type="dcterms:W3CDTF">2021-10-30T05:43:00Z</dcterms:modified>
</cp:coreProperties>
</file>