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E829" w14:textId="1366E485" w:rsidR="00D03E6D" w:rsidRPr="00D03E6D" w:rsidRDefault="00D03E6D" w:rsidP="00F060FD">
      <w:pPr>
        <w:tabs>
          <w:tab w:val="num" w:pos="720"/>
        </w:tabs>
        <w:spacing w:before="150" w:after="150" w:line="300" w:lineRule="atLeast"/>
        <w:ind w:left="720" w:hanging="360"/>
        <w:rPr>
          <w:rFonts w:ascii="Times New Roman" w:hAnsi="Times New Roman" w:cs="Times New Roman"/>
          <w:b/>
          <w:bCs/>
        </w:rPr>
      </w:pPr>
      <w:r w:rsidRPr="00D03E6D">
        <w:rPr>
          <w:rFonts w:ascii="Times New Roman" w:hAnsi="Times New Roman" w:cs="Times New Roman"/>
          <w:b/>
          <w:bCs/>
        </w:rPr>
        <w:t xml:space="preserve">AWARDS </w:t>
      </w:r>
    </w:p>
    <w:p w14:paraId="7B9BD9C7" w14:textId="2D59FED2" w:rsidR="00F060FD" w:rsidRPr="00F060FD" w:rsidRDefault="00F060FD" w:rsidP="00F060FD">
      <w:pPr>
        <w:numPr>
          <w:ilvl w:val="0"/>
          <w:numId w:val="1"/>
        </w:numPr>
        <w:spacing w:before="150" w:after="150" w:line="300" w:lineRule="atLeast"/>
        <w:rPr>
          <w:rFonts w:ascii="open_sansregular" w:eastAsia="Times New Roman" w:hAnsi="open_sansregular" w:cs="Times New Roman"/>
          <w:color w:val="333333"/>
          <w:sz w:val="21"/>
          <w:szCs w:val="21"/>
          <w:lang w:eastAsia="en-IN"/>
        </w:rPr>
      </w:pPr>
      <w:r w:rsidRPr="00F060FD">
        <w:rPr>
          <w:rFonts w:ascii="open_sansregular" w:eastAsia="Times New Roman" w:hAnsi="open_sansregular" w:cs="Times New Roman"/>
          <w:color w:val="333333"/>
          <w:sz w:val="21"/>
          <w:szCs w:val="21"/>
          <w:lang w:eastAsia="en-IN"/>
        </w:rPr>
        <w:t>Passed MBBS with three gold medals</w:t>
      </w:r>
    </w:p>
    <w:p w14:paraId="24FEB1C3" w14:textId="77777777" w:rsidR="00F060FD" w:rsidRPr="00F060FD" w:rsidRDefault="00F060FD" w:rsidP="00F060FD">
      <w:pPr>
        <w:numPr>
          <w:ilvl w:val="0"/>
          <w:numId w:val="1"/>
        </w:numPr>
        <w:spacing w:before="150" w:after="150" w:line="300" w:lineRule="atLeast"/>
        <w:rPr>
          <w:rFonts w:ascii="open_sansregular" w:eastAsia="Times New Roman" w:hAnsi="open_sansregular" w:cs="Times New Roman"/>
          <w:color w:val="333333"/>
          <w:sz w:val="21"/>
          <w:szCs w:val="21"/>
          <w:lang w:eastAsia="en-IN"/>
        </w:rPr>
      </w:pPr>
      <w:r w:rsidRPr="00F060FD">
        <w:rPr>
          <w:rFonts w:ascii="open_sansregular" w:eastAsia="Times New Roman" w:hAnsi="open_sansregular" w:cs="Times New Roman"/>
          <w:color w:val="333333"/>
          <w:sz w:val="21"/>
          <w:szCs w:val="21"/>
          <w:lang w:eastAsia="en-IN"/>
        </w:rPr>
        <w:t xml:space="preserve">Gold medal in Biochemistry subject in MBBS </w:t>
      </w:r>
      <w:proofErr w:type="spellStart"/>
      <w:r w:rsidRPr="00F060FD">
        <w:rPr>
          <w:rFonts w:ascii="open_sansregular" w:eastAsia="Times New Roman" w:hAnsi="open_sansregular" w:cs="Times New Roman"/>
          <w:color w:val="333333"/>
          <w:sz w:val="21"/>
          <w:szCs w:val="21"/>
          <w:lang w:eastAsia="en-IN"/>
        </w:rPr>
        <w:t>Ist</w:t>
      </w:r>
      <w:proofErr w:type="spellEnd"/>
      <w:r w:rsidRPr="00F060FD">
        <w:rPr>
          <w:rFonts w:ascii="open_sansregular" w:eastAsia="Times New Roman" w:hAnsi="open_sansregular" w:cs="Times New Roman"/>
          <w:color w:val="333333"/>
          <w:sz w:val="21"/>
          <w:szCs w:val="21"/>
          <w:lang w:eastAsia="en-IN"/>
        </w:rPr>
        <w:t xml:space="preserve"> Professional exam.</w:t>
      </w:r>
    </w:p>
    <w:p w14:paraId="59F65317" w14:textId="77777777" w:rsidR="00F060FD" w:rsidRPr="00F060FD" w:rsidRDefault="00F060FD" w:rsidP="00F060FD">
      <w:pPr>
        <w:numPr>
          <w:ilvl w:val="0"/>
          <w:numId w:val="1"/>
        </w:numPr>
        <w:spacing w:before="150" w:after="150" w:line="300" w:lineRule="atLeast"/>
        <w:rPr>
          <w:rFonts w:ascii="open_sansregular" w:eastAsia="Times New Roman" w:hAnsi="open_sansregular" w:cs="Times New Roman"/>
          <w:color w:val="333333"/>
          <w:sz w:val="21"/>
          <w:szCs w:val="21"/>
          <w:lang w:eastAsia="en-IN"/>
        </w:rPr>
      </w:pPr>
      <w:r w:rsidRPr="00F060FD">
        <w:rPr>
          <w:rFonts w:ascii="open_sansregular" w:eastAsia="Times New Roman" w:hAnsi="open_sansregular" w:cs="Times New Roman"/>
          <w:color w:val="333333"/>
          <w:sz w:val="21"/>
          <w:szCs w:val="21"/>
          <w:lang w:eastAsia="en-IN"/>
        </w:rPr>
        <w:t xml:space="preserve">Gold medal for securing highest aggregate marks in MBBS </w:t>
      </w:r>
      <w:proofErr w:type="spellStart"/>
      <w:r w:rsidRPr="00F060FD">
        <w:rPr>
          <w:rFonts w:ascii="open_sansregular" w:eastAsia="Times New Roman" w:hAnsi="open_sansregular" w:cs="Times New Roman"/>
          <w:color w:val="333333"/>
          <w:sz w:val="21"/>
          <w:szCs w:val="21"/>
          <w:lang w:eastAsia="en-IN"/>
        </w:rPr>
        <w:t>IInd</w:t>
      </w:r>
      <w:proofErr w:type="spellEnd"/>
      <w:r w:rsidRPr="00F060FD">
        <w:rPr>
          <w:rFonts w:ascii="open_sansregular" w:eastAsia="Times New Roman" w:hAnsi="open_sansregular" w:cs="Times New Roman"/>
          <w:color w:val="333333"/>
          <w:sz w:val="21"/>
          <w:szCs w:val="21"/>
          <w:lang w:eastAsia="en-IN"/>
        </w:rPr>
        <w:t xml:space="preserve"> Professional exam</w:t>
      </w:r>
    </w:p>
    <w:p w14:paraId="59DE7D9C" w14:textId="77777777" w:rsidR="00F060FD" w:rsidRPr="00F060FD" w:rsidRDefault="00F060FD" w:rsidP="00F060FD">
      <w:pPr>
        <w:numPr>
          <w:ilvl w:val="0"/>
          <w:numId w:val="1"/>
        </w:numPr>
        <w:spacing w:before="150" w:after="150" w:line="300" w:lineRule="atLeast"/>
        <w:rPr>
          <w:rFonts w:ascii="open_sansregular" w:eastAsia="Times New Roman" w:hAnsi="open_sansregular" w:cs="Times New Roman"/>
          <w:color w:val="333333"/>
          <w:sz w:val="21"/>
          <w:szCs w:val="21"/>
          <w:lang w:eastAsia="en-IN"/>
        </w:rPr>
      </w:pPr>
      <w:r w:rsidRPr="00F060FD">
        <w:rPr>
          <w:rFonts w:ascii="open_sansregular" w:eastAsia="Times New Roman" w:hAnsi="open_sansregular" w:cs="Times New Roman"/>
          <w:color w:val="333333"/>
          <w:sz w:val="21"/>
          <w:szCs w:val="21"/>
          <w:lang w:eastAsia="en-IN"/>
        </w:rPr>
        <w:t>Gold medal in Pathology.</w:t>
      </w:r>
    </w:p>
    <w:p w14:paraId="4785A4DC" w14:textId="77777777" w:rsidR="00F060FD" w:rsidRPr="00F060FD" w:rsidRDefault="00F060FD" w:rsidP="00F060FD">
      <w:pPr>
        <w:numPr>
          <w:ilvl w:val="0"/>
          <w:numId w:val="1"/>
        </w:numPr>
        <w:spacing w:before="150" w:after="150" w:line="300" w:lineRule="atLeast"/>
        <w:rPr>
          <w:rFonts w:ascii="open_sansregular" w:eastAsia="Times New Roman" w:hAnsi="open_sansregular" w:cs="Times New Roman"/>
          <w:color w:val="333333"/>
          <w:sz w:val="21"/>
          <w:szCs w:val="21"/>
          <w:lang w:eastAsia="en-IN"/>
        </w:rPr>
      </w:pPr>
      <w:r w:rsidRPr="00F060FD">
        <w:rPr>
          <w:rFonts w:ascii="open_sansregular" w:eastAsia="Times New Roman" w:hAnsi="open_sansregular" w:cs="Times New Roman"/>
          <w:color w:val="333333"/>
          <w:sz w:val="21"/>
          <w:szCs w:val="21"/>
          <w:lang w:eastAsia="en-IN"/>
        </w:rPr>
        <w:t>Won Deeptanshu Vedant Gupta award in UPICON, 2006 Quiz competition.</w:t>
      </w:r>
    </w:p>
    <w:p w14:paraId="6D1267EE" w14:textId="77777777" w:rsidR="00F060FD" w:rsidRPr="00F060FD" w:rsidRDefault="00F060FD" w:rsidP="00F060FD">
      <w:pPr>
        <w:numPr>
          <w:ilvl w:val="0"/>
          <w:numId w:val="1"/>
        </w:numPr>
        <w:spacing w:before="150" w:after="150" w:line="300" w:lineRule="atLeast"/>
        <w:rPr>
          <w:rFonts w:ascii="open_sansregular" w:eastAsia="Times New Roman" w:hAnsi="open_sansregular" w:cs="Times New Roman"/>
          <w:color w:val="333333"/>
          <w:sz w:val="21"/>
          <w:szCs w:val="21"/>
          <w:lang w:eastAsia="en-IN"/>
        </w:rPr>
      </w:pPr>
      <w:r w:rsidRPr="00F060FD">
        <w:rPr>
          <w:rFonts w:ascii="open_sansregular" w:eastAsia="Times New Roman" w:hAnsi="open_sansregular" w:cs="Times New Roman"/>
          <w:color w:val="333333"/>
          <w:sz w:val="21"/>
          <w:szCs w:val="21"/>
          <w:lang w:eastAsia="en-IN"/>
        </w:rPr>
        <w:t>Gold medal in MD Medicine.</w:t>
      </w:r>
    </w:p>
    <w:p w14:paraId="762A17C2" w14:textId="77777777" w:rsidR="00F060FD" w:rsidRPr="00F060FD" w:rsidRDefault="00F060FD" w:rsidP="00F060FD">
      <w:pPr>
        <w:numPr>
          <w:ilvl w:val="0"/>
          <w:numId w:val="1"/>
        </w:numPr>
        <w:spacing w:before="150" w:after="150" w:line="300" w:lineRule="atLeast"/>
        <w:rPr>
          <w:rFonts w:ascii="open_sansregular" w:eastAsia="Times New Roman" w:hAnsi="open_sansregular" w:cs="Times New Roman"/>
          <w:color w:val="333333"/>
          <w:sz w:val="21"/>
          <w:szCs w:val="21"/>
          <w:lang w:eastAsia="en-IN"/>
        </w:rPr>
      </w:pPr>
      <w:r w:rsidRPr="00F060FD">
        <w:rPr>
          <w:rFonts w:ascii="open_sansregular" w:eastAsia="Times New Roman" w:hAnsi="open_sansregular" w:cs="Times New Roman"/>
          <w:color w:val="333333"/>
          <w:sz w:val="21"/>
          <w:szCs w:val="21"/>
          <w:lang w:eastAsia="en-IN"/>
        </w:rPr>
        <w:t>Won 2nd prize in Poster/Paper titled celiac disease is associated with NCIPH/Cryptogenic CLD in our population at INASL session of ISGCON, 2010.</w:t>
      </w:r>
    </w:p>
    <w:p w14:paraId="47DE68E2" w14:textId="6EC768C9" w:rsidR="00F060FD" w:rsidRPr="00F060FD" w:rsidRDefault="00F060FD" w:rsidP="00F060FD">
      <w:pPr>
        <w:numPr>
          <w:ilvl w:val="0"/>
          <w:numId w:val="1"/>
        </w:numPr>
        <w:spacing w:before="150" w:after="150" w:line="300" w:lineRule="atLeast"/>
        <w:rPr>
          <w:rFonts w:ascii="open_sansregular" w:eastAsia="Times New Roman" w:hAnsi="open_sansregular" w:cs="Times New Roman"/>
          <w:color w:val="333333"/>
          <w:sz w:val="21"/>
          <w:szCs w:val="21"/>
          <w:lang w:eastAsia="en-IN"/>
        </w:rPr>
      </w:pPr>
      <w:r w:rsidRPr="00F060FD">
        <w:rPr>
          <w:rFonts w:ascii="open_sansregular" w:eastAsia="Times New Roman" w:hAnsi="open_sansregular" w:cs="Times New Roman"/>
          <w:color w:val="333333"/>
          <w:sz w:val="21"/>
          <w:szCs w:val="21"/>
          <w:lang w:eastAsia="en-IN"/>
        </w:rPr>
        <w:t xml:space="preserve">Received award for best plenary paper ISGCON </w:t>
      </w:r>
      <w:proofErr w:type="gramStart"/>
      <w:r w:rsidRPr="00F060FD">
        <w:rPr>
          <w:rFonts w:ascii="open_sansregular" w:eastAsia="Times New Roman" w:hAnsi="open_sansregular" w:cs="Times New Roman"/>
          <w:color w:val="333333"/>
          <w:sz w:val="21"/>
          <w:szCs w:val="21"/>
          <w:lang w:eastAsia="en-IN"/>
        </w:rPr>
        <w:t>2012,Jaipur</w:t>
      </w:r>
      <w:proofErr w:type="gramEnd"/>
      <w:r w:rsidR="00D03E6D">
        <w:rPr>
          <w:rFonts w:ascii="open_sansregular" w:eastAsia="Times New Roman" w:hAnsi="open_sansregular" w:cs="Times New Roman"/>
          <w:color w:val="333333"/>
          <w:sz w:val="21"/>
          <w:szCs w:val="21"/>
          <w:lang w:eastAsia="en-IN"/>
        </w:rPr>
        <w:t xml:space="preserve"> “ Prevalence and prognostic significance of </w:t>
      </w:r>
      <w:proofErr w:type="spellStart"/>
      <w:r w:rsidR="00D03E6D">
        <w:rPr>
          <w:rFonts w:ascii="open_sansregular" w:eastAsia="Times New Roman" w:hAnsi="open_sansregular" w:cs="Times New Roman"/>
          <w:color w:val="333333"/>
          <w:sz w:val="21"/>
          <w:szCs w:val="21"/>
          <w:lang w:eastAsia="en-IN"/>
        </w:rPr>
        <w:t>hyperkalemia</w:t>
      </w:r>
      <w:proofErr w:type="spellEnd"/>
      <w:r w:rsidR="00D03E6D">
        <w:rPr>
          <w:rFonts w:ascii="open_sansregular" w:eastAsia="Times New Roman" w:hAnsi="open_sansregular" w:cs="Times New Roman"/>
          <w:color w:val="333333"/>
          <w:sz w:val="21"/>
          <w:szCs w:val="21"/>
          <w:lang w:eastAsia="en-IN"/>
        </w:rPr>
        <w:t xml:space="preserve"> in cirrhosis”</w:t>
      </w:r>
    </w:p>
    <w:p w14:paraId="3A6A863C" w14:textId="6DADF670" w:rsidR="00F060FD" w:rsidRDefault="00F060FD" w:rsidP="00F060FD">
      <w:pPr>
        <w:numPr>
          <w:ilvl w:val="0"/>
          <w:numId w:val="1"/>
        </w:numPr>
        <w:spacing w:before="150" w:after="150" w:line="300" w:lineRule="atLeast"/>
        <w:rPr>
          <w:rFonts w:ascii="open_sansregular" w:eastAsia="Times New Roman" w:hAnsi="open_sansregular" w:cs="Times New Roman"/>
          <w:color w:val="333333"/>
          <w:sz w:val="21"/>
          <w:szCs w:val="21"/>
          <w:lang w:eastAsia="en-IN"/>
        </w:rPr>
      </w:pPr>
      <w:r w:rsidRPr="00F060FD">
        <w:rPr>
          <w:rFonts w:ascii="open_sansregular" w:eastAsia="Times New Roman" w:hAnsi="open_sansregular" w:cs="Times New Roman"/>
          <w:color w:val="333333"/>
          <w:sz w:val="21"/>
          <w:szCs w:val="21"/>
          <w:lang w:eastAsia="en-IN"/>
        </w:rPr>
        <w:t>Received award for best presidential poster ISGCON 2012</w:t>
      </w:r>
    </w:p>
    <w:p w14:paraId="45D42B89" w14:textId="2A479178" w:rsidR="00F060FD" w:rsidRDefault="00F060FD" w:rsidP="00F060FD">
      <w:pPr>
        <w:numPr>
          <w:ilvl w:val="0"/>
          <w:numId w:val="1"/>
        </w:numPr>
        <w:spacing w:before="150" w:after="150" w:line="300" w:lineRule="atLeast"/>
        <w:rPr>
          <w:rFonts w:ascii="open_sansregular" w:eastAsia="Times New Roman" w:hAnsi="open_sansregular" w:cs="Times New Roman"/>
          <w:color w:val="333333"/>
          <w:sz w:val="21"/>
          <w:szCs w:val="21"/>
          <w:lang w:eastAsia="en-IN"/>
        </w:rPr>
      </w:pPr>
      <w:r>
        <w:rPr>
          <w:rFonts w:ascii="open_sansregular" w:eastAsia="Times New Roman" w:hAnsi="open_sansregular" w:cs="Times New Roman"/>
          <w:color w:val="333333"/>
          <w:sz w:val="21"/>
          <w:szCs w:val="21"/>
          <w:lang w:eastAsia="en-IN"/>
        </w:rPr>
        <w:t xml:space="preserve">Work recognised as Best of AASLD in 2018 “Early versus late initiation of sustained low efficiency dialysis in critically ill </w:t>
      </w:r>
      <w:proofErr w:type="spellStart"/>
      <w:r>
        <w:rPr>
          <w:rFonts w:ascii="open_sansregular" w:eastAsia="Times New Roman" w:hAnsi="open_sansregular" w:cs="Times New Roman"/>
          <w:color w:val="333333"/>
          <w:sz w:val="21"/>
          <w:szCs w:val="21"/>
          <w:lang w:eastAsia="en-IN"/>
        </w:rPr>
        <w:t>cirrhotics</w:t>
      </w:r>
      <w:proofErr w:type="spellEnd"/>
      <w:r>
        <w:rPr>
          <w:rFonts w:ascii="open_sansregular" w:eastAsia="Times New Roman" w:hAnsi="open_sansregular" w:cs="Times New Roman"/>
          <w:color w:val="333333"/>
          <w:sz w:val="21"/>
          <w:szCs w:val="21"/>
          <w:lang w:eastAsia="en-IN"/>
        </w:rPr>
        <w:t xml:space="preserve"> with septic shock” in 2018 </w:t>
      </w:r>
    </w:p>
    <w:p w14:paraId="16A474F3" w14:textId="7C4B8E8B" w:rsidR="00F060FD" w:rsidRDefault="00F060FD" w:rsidP="00F060FD">
      <w:pPr>
        <w:numPr>
          <w:ilvl w:val="0"/>
          <w:numId w:val="1"/>
        </w:numPr>
        <w:spacing w:before="150" w:after="150" w:line="300" w:lineRule="atLeast"/>
        <w:rPr>
          <w:rFonts w:ascii="open_sansregular" w:eastAsia="Times New Roman" w:hAnsi="open_sansregular" w:cs="Times New Roman"/>
          <w:color w:val="333333"/>
          <w:sz w:val="21"/>
          <w:szCs w:val="21"/>
          <w:lang w:eastAsia="en-IN"/>
        </w:rPr>
      </w:pPr>
      <w:r>
        <w:rPr>
          <w:rFonts w:ascii="open_sansregular" w:eastAsia="Times New Roman" w:hAnsi="open_sansregular" w:cs="Times New Roman"/>
          <w:color w:val="333333"/>
          <w:sz w:val="21"/>
          <w:szCs w:val="21"/>
          <w:lang w:eastAsia="en-IN"/>
        </w:rPr>
        <w:t>Best of AASLD abstract 2021 on “High versus low target mean arterial pressure in critically ill patients with cirrhosis”</w:t>
      </w:r>
    </w:p>
    <w:p w14:paraId="4F413235" w14:textId="7604717F" w:rsidR="00D03E6D" w:rsidRPr="00D03E6D" w:rsidRDefault="00F060FD" w:rsidP="00D03E6D">
      <w:pPr>
        <w:numPr>
          <w:ilvl w:val="0"/>
          <w:numId w:val="1"/>
        </w:numPr>
        <w:spacing w:before="150" w:after="150" w:line="300" w:lineRule="atLeast"/>
        <w:rPr>
          <w:rFonts w:ascii="open_sansregular" w:eastAsia="Times New Roman" w:hAnsi="open_sansregular" w:cs="Times New Roman"/>
          <w:color w:val="333333"/>
          <w:sz w:val="21"/>
          <w:szCs w:val="21"/>
          <w:lang w:eastAsia="en-IN"/>
        </w:rPr>
      </w:pPr>
      <w:r>
        <w:rPr>
          <w:rFonts w:ascii="open_sansregular" w:eastAsia="Times New Roman" w:hAnsi="open_sansregular" w:cs="Times New Roman"/>
          <w:color w:val="333333"/>
          <w:sz w:val="21"/>
          <w:szCs w:val="21"/>
          <w:lang w:eastAsia="en-IN"/>
        </w:rPr>
        <w:t>Best of EASL abstract 2014</w:t>
      </w:r>
      <w:r w:rsidR="00D03E6D">
        <w:rPr>
          <w:rFonts w:ascii="open_sansregular" w:eastAsia="Times New Roman" w:hAnsi="open_sansregular" w:cs="Times New Roman"/>
          <w:color w:val="333333"/>
          <w:sz w:val="21"/>
          <w:szCs w:val="21"/>
          <w:lang w:eastAsia="en-IN"/>
        </w:rPr>
        <w:t xml:space="preserve"> </w:t>
      </w:r>
      <w:proofErr w:type="gramStart"/>
      <w:r w:rsidR="00D03E6D">
        <w:rPr>
          <w:rFonts w:ascii="open_sansregular" w:eastAsia="Times New Roman" w:hAnsi="open_sansregular" w:cs="Times New Roman"/>
          <w:color w:val="333333"/>
          <w:sz w:val="21"/>
          <w:szCs w:val="21"/>
          <w:lang w:eastAsia="en-IN"/>
        </w:rPr>
        <w:t>“ Therapeutic</w:t>
      </w:r>
      <w:proofErr w:type="gramEnd"/>
      <w:r w:rsidR="00D03E6D">
        <w:rPr>
          <w:rFonts w:ascii="open_sansregular" w:eastAsia="Times New Roman" w:hAnsi="open_sansregular" w:cs="Times New Roman"/>
          <w:color w:val="333333"/>
          <w:sz w:val="21"/>
          <w:szCs w:val="21"/>
          <w:lang w:eastAsia="en-IN"/>
        </w:rPr>
        <w:t xml:space="preserve"> plasma-exchange improves survival in patients with acute on chronic liver failure”</w:t>
      </w:r>
    </w:p>
    <w:p w14:paraId="387AA81F" w14:textId="77777777" w:rsidR="00D03E6D" w:rsidRDefault="00F060FD" w:rsidP="00D03E6D">
      <w:pPr>
        <w:numPr>
          <w:ilvl w:val="0"/>
          <w:numId w:val="1"/>
        </w:numPr>
        <w:spacing w:before="150" w:after="150" w:line="300" w:lineRule="atLeast"/>
        <w:rPr>
          <w:rFonts w:ascii="open_sansregular" w:eastAsia="Times New Roman" w:hAnsi="open_sansregular" w:cs="Times New Roman"/>
          <w:color w:val="333333"/>
          <w:sz w:val="21"/>
          <w:szCs w:val="21"/>
          <w:lang w:eastAsia="en-IN"/>
        </w:rPr>
      </w:pPr>
      <w:r>
        <w:rPr>
          <w:rFonts w:ascii="open_sansregular" w:eastAsia="Times New Roman" w:hAnsi="open_sansregular" w:cs="Times New Roman"/>
          <w:color w:val="333333"/>
          <w:sz w:val="21"/>
          <w:szCs w:val="21"/>
          <w:lang w:eastAsia="en-IN"/>
        </w:rPr>
        <w:t xml:space="preserve">Received the Award by American association </w:t>
      </w:r>
      <w:r w:rsidR="00D03E6D">
        <w:rPr>
          <w:rFonts w:ascii="open_sansregular" w:eastAsia="Times New Roman" w:hAnsi="open_sansregular" w:cs="Times New Roman"/>
          <w:color w:val="333333"/>
          <w:sz w:val="21"/>
          <w:szCs w:val="21"/>
          <w:lang w:eastAsia="en-IN"/>
        </w:rPr>
        <w:t xml:space="preserve">2018 </w:t>
      </w:r>
      <w:r>
        <w:rPr>
          <w:rFonts w:ascii="open_sansregular" w:eastAsia="Times New Roman" w:hAnsi="open_sansregular" w:cs="Times New Roman"/>
          <w:color w:val="333333"/>
          <w:sz w:val="21"/>
          <w:szCs w:val="21"/>
          <w:lang w:eastAsia="en-IN"/>
        </w:rPr>
        <w:t xml:space="preserve">for her work on </w:t>
      </w:r>
      <w:proofErr w:type="gramStart"/>
      <w:r>
        <w:rPr>
          <w:rFonts w:ascii="open_sansregular" w:eastAsia="Times New Roman" w:hAnsi="open_sansregular" w:cs="Times New Roman"/>
          <w:color w:val="333333"/>
          <w:sz w:val="21"/>
          <w:szCs w:val="21"/>
          <w:lang w:eastAsia="en-IN"/>
        </w:rPr>
        <w:t>“ Plasma</w:t>
      </w:r>
      <w:proofErr w:type="gramEnd"/>
      <w:r>
        <w:rPr>
          <w:rFonts w:ascii="open_sansregular" w:eastAsia="Times New Roman" w:hAnsi="open_sansregular" w:cs="Times New Roman"/>
          <w:color w:val="333333"/>
          <w:sz w:val="21"/>
          <w:szCs w:val="21"/>
          <w:lang w:eastAsia="en-IN"/>
        </w:rPr>
        <w:t xml:space="preserve">-exchange in acute liver failure with cerebral </w:t>
      </w:r>
      <w:proofErr w:type="spellStart"/>
      <w:r>
        <w:rPr>
          <w:rFonts w:ascii="open_sansregular" w:eastAsia="Times New Roman" w:hAnsi="open_sansregular" w:cs="Times New Roman"/>
          <w:color w:val="333333"/>
          <w:sz w:val="21"/>
          <w:szCs w:val="21"/>
          <w:lang w:eastAsia="en-IN"/>
        </w:rPr>
        <w:t>edema</w:t>
      </w:r>
      <w:proofErr w:type="spellEnd"/>
      <w:r>
        <w:rPr>
          <w:rFonts w:ascii="open_sansregular" w:eastAsia="Times New Roman" w:hAnsi="open_sansregular" w:cs="Times New Roman"/>
          <w:color w:val="333333"/>
          <w:sz w:val="21"/>
          <w:szCs w:val="21"/>
          <w:lang w:eastAsia="en-IN"/>
        </w:rPr>
        <w:t xml:space="preserve"> improves survival-A randomized controlled trial”</w:t>
      </w:r>
    </w:p>
    <w:p w14:paraId="1808A3FA" w14:textId="7A5820F3" w:rsidR="00D03E6D" w:rsidRPr="00F060FD" w:rsidRDefault="00D03E6D" w:rsidP="00D03E6D">
      <w:pPr>
        <w:numPr>
          <w:ilvl w:val="0"/>
          <w:numId w:val="1"/>
        </w:numPr>
        <w:spacing w:before="150" w:after="150" w:line="300" w:lineRule="atLeast"/>
        <w:rPr>
          <w:rFonts w:ascii="open_sansregular" w:eastAsia="Times New Roman" w:hAnsi="open_sansregular" w:cs="Times New Roman"/>
          <w:b/>
          <w:bCs/>
          <w:color w:val="333333"/>
          <w:sz w:val="21"/>
          <w:szCs w:val="21"/>
          <w:lang w:eastAsia="en-IN"/>
        </w:rPr>
      </w:pPr>
      <w:r w:rsidRPr="00D03E6D">
        <w:rPr>
          <w:rFonts w:ascii="open_sansregular" w:eastAsia="Times New Roman" w:hAnsi="open_sansregular" w:cs="Times New Roman"/>
          <w:color w:val="333333"/>
          <w:sz w:val="21"/>
          <w:szCs w:val="21"/>
          <w:lang w:eastAsia="en-IN"/>
        </w:rPr>
        <w:t>Best of EASL abstract 2021 on “</w:t>
      </w:r>
      <w:r w:rsidRPr="00D03E6D">
        <w:rPr>
          <w:rStyle w:val="Strong"/>
          <w:rFonts w:ascii="Arial" w:hAnsi="Arial" w:cs="Arial"/>
          <w:b w:val="0"/>
          <w:bCs w:val="0"/>
          <w:color w:val="333333"/>
          <w:sz w:val="20"/>
          <w:szCs w:val="20"/>
          <w:shd w:val="clear" w:color="auto" w:fill="FFFFFF"/>
        </w:rPr>
        <w:t xml:space="preserve">Comparison of 20%albumin versus </w:t>
      </w:r>
      <w:proofErr w:type="spellStart"/>
      <w:r w:rsidRPr="00D03E6D">
        <w:rPr>
          <w:rStyle w:val="Strong"/>
          <w:rFonts w:ascii="Arial" w:hAnsi="Arial" w:cs="Arial"/>
          <w:b w:val="0"/>
          <w:bCs w:val="0"/>
          <w:color w:val="333333"/>
          <w:sz w:val="20"/>
          <w:szCs w:val="20"/>
          <w:shd w:val="clear" w:color="auto" w:fill="FFFFFF"/>
        </w:rPr>
        <w:t>plasmalyte</w:t>
      </w:r>
      <w:proofErr w:type="spellEnd"/>
      <w:r w:rsidRPr="00D03E6D">
        <w:rPr>
          <w:rStyle w:val="Strong"/>
          <w:rFonts w:ascii="Arial" w:hAnsi="Arial" w:cs="Arial"/>
          <w:b w:val="0"/>
          <w:bCs w:val="0"/>
          <w:color w:val="333333"/>
          <w:sz w:val="20"/>
          <w:szCs w:val="20"/>
          <w:shd w:val="clear" w:color="auto" w:fill="FFFFFF"/>
        </w:rPr>
        <w:t xml:space="preserve"> in patients with cirrhosis and sepsis-induced hypotension-A randomized controlled trial</w:t>
      </w:r>
      <w:r>
        <w:rPr>
          <w:rStyle w:val="Strong"/>
          <w:rFonts w:ascii="Arial" w:hAnsi="Arial" w:cs="Arial"/>
          <w:b w:val="0"/>
          <w:bCs w:val="0"/>
          <w:color w:val="333333"/>
          <w:sz w:val="20"/>
          <w:szCs w:val="20"/>
          <w:shd w:val="clear" w:color="auto" w:fill="FFFFFF"/>
        </w:rPr>
        <w:t>”</w:t>
      </w:r>
    </w:p>
    <w:p w14:paraId="66276472" w14:textId="3289C85C" w:rsidR="00F060FD" w:rsidRPr="00F060FD" w:rsidRDefault="00F060FD" w:rsidP="00F060FD">
      <w:pPr>
        <w:numPr>
          <w:ilvl w:val="0"/>
          <w:numId w:val="1"/>
        </w:numPr>
        <w:spacing w:before="150" w:after="150" w:line="300" w:lineRule="atLeast"/>
        <w:rPr>
          <w:rFonts w:ascii="open_sansregular" w:eastAsia="Times New Roman" w:hAnsi="open_sansregular" w:cs="Times New Roman"/>
          <w:color w:val="333333"/>
          <w:sz w:val="21"/>
          <w:szCs w:val="21"/>
          <w:lang w:eastAsia="en-IN"/>
        </w:rPr>
      </w:pPr>
      <w:r w:rsidRPr="00F060FD">
        <w:rPr>
          <w:rFonts w:ascii="open_sansregular" w:eastAsia="Times New Roman" w:hAnsi="open_sansregular" w:cs="Times New Roman"/>
          <w:color w:val="333333"/>
          <w:sz w:val="21"/>
          <w:szCs w:val="21"/>
          <w:lang w:eastAsia="en-IN"/>
        </w:rPr>
        <w:t>First prize in plenary session of ISGCON 2014, Mumbai</w:t>
      </w:r>
      <w:r w:rsidR="005F4F9B">
        <w:rPr>
          <w:rFonts w:ascii="open_sansregular" w:eastAsia="Times New Roman" w:hAnsi="open_sansregular" w:cs="Times New Roman"/>
          <w:color w:val="333333"/>
          <w:sz w:val="21"/>
          <w:szCs w:val="21"/>
          <w:lang w:eastAsia="en-IN"/>
        </w:rPr>
        <w:t xml:space="preserve"> on “Predisposition. Injury, response and organ failure score for prediction of AKI in patients with ACLF”</w:t>
      </w:r>
    </w:p>
    <w:p w14:paraId="4F317AC2" w14:textId="23831411" w:rsidR="00F060FD" w:rsidRDefault="00F060FD" w:rsidP="00F060FD">
      <w:pPr>
        <w:numPr>
          <w:ilvl w:val="0"/>
          <w:numId w:val="1"/>
        </w:numPr>
        <w:spacing w:before="150" w:after="150" w:line="300" w:lineRule="atLeast"/>
        <w:rPr>
          <w:rFonts w:ascii="open_sansregular" w:eastAsia="Times New Roman" w:hAnsi="open_sansregular" w:cs="Times New Roman"/>
          <w:color w:val="333333"/>
          <w:sz w:val="21"/>
          <w:szCs w:val="21"/>
          <w:lang w:eastAsia="en-IN"/>
        </w:rPr>
      </w:pPr>
      <w:r w:rsidRPr="00F060FD">
        <w:rPr>
          <w:rFonts w:ascii="open_sansregular" w:eastAsia="Times New Roman" w:hAnsi="open_sansregular" w:cs="Times New Roman"/>
          <w:color w:val="333333"/>
          <w:sz w:val="21"/>
          <w:szCs w:val="21"/>
          <w:lang w:eastAsia="en-IN"/>
        </w:rPr>
        <w:t>“Hepatology 360” runner up award for oral presentation in clinical research</w:t>
      </w:r>
      <w:r w:rsidR="00D03E6D">
        <w:rPr>
          <w:rFonts w:ascii="open_sansregular" w:eastAsia="Times New Roman" w:hAnsi="open_sansregular" w:cs="Times New Roman"/>
          <w:color w:val="333333"/>
          <w:sz w:val="21"/>
          <w:szCs w:val="21"/>
          <w:lang w:eastAsia="en-IN"/>
        </w:rPr>
        <w:t xml:space="preserve">” AKI in acute on chronic liver failure is different from patients with decompensated cirrhosis” </w:t>
      </w:r>
    </w:p>
    <w:p w14:paraId="76A59E9F" w14:textId="6AD82D5D" w:rsidR="00D03E6D" w:rsidRDefault="00D03E6D" w:rsidP="00F060FD">
      <w:pPr>
        <w:numPr>
          <w:ilvl w:val="0"/>
          <w:numId w:val="1"/>
        </w:numPr>
        <w:spacing w:before="150" w:after="150" w:line="300" w:lineRule="atLeast"/>
        <w:rPr>
          <w:rFonts w:ascii="open_sansregular" w:eastAsia="Times New Roman" w:hAnsi="open_sansregular" w:cs="Times New Roman"/>
          <w:color w:val="333333"/>
          <w:sz w:val="21"/>
          <w:szCs w:val="21"/>
          <w:lang w:eastAsia="en-IN"/>
        </w:rPr>
      </w:pPr>
      <w:r>
        <w:rPr>
          <w:rFonts w:ascii="open_sansregular" w:eastAsia="Times New Roman" w:hAnsi="open_sansregular" w:cs="Times New Roman"/>
          <w:color w:val="333333"/>
          <w:sz w:val="21"/>
          <w:szCs w:val="21"/>
          <w:lang w:eastAsia="en-IN"/>
        </w:rPr>
        <w:t>Received the most prestigious award “The rising star” award by the Asian Pacific association for the study of Liver for her outstanding research in the Asia Pacific region comprised of 84 countries.</w:t>
      </w:r>
    </w:p>
    <w:p w14:paraId="02512E9E" w14:textId="7F76112D" w:rsidR="005F4F9B" w:rsidRDefault="005F4F9B" w:rsidP="005F4F9B">
      <w:pPr>
        <w:spacing w:before="150" w:after="150" w:line="300" w:lineRule="atLeast"/>
        <w:ind w:left="720"/>
        <w:rPr>
          <w:rFonts w:ascii="open_sansregular" w:eastAsia="Times New Roman" w:hAnsi="open_sansregular" w:cs="Times New Roman"/>
          <w:color w:val="333333"/>
          <w:sz w:val="21"/>
          <w:szCs w:val="21"/>
          <w:lang w:eastAsia="en-IN"/>
        </w:rPr>
      </w:pPr>
    </w:p>
    <w:p w14:paraId="6F7DEAE0" w14:textId="4CA88A23" w:rsidR="005F4F9B" w:rsidRDefault="005F4F9B" w:rsidP="005F4F9B">
      <w:pPr>
        <w:spacing w:before="150" w:after="150" w:line="300" w:lineRule="atLeast"/>
        <w:ind w:left="720"/>
        <w:rPr>
          <w:rFonts w:ascii="open_sansregular" w:eastAsia="Times New Roman" w:hAnsi="open_sansregular" w:cs="Times New Roman"/>
          <w:color w:val="333333"/>
          <w:sz w:val="21"/>
          <w:szCs w:val="21"/>
          <w:lang w:eastAsia="en-IN"/>
        </w:rPr>
      </w:pPr>
    </w:p>
    <w:tbl>
      <w:tblPr>
        <w:tblStyle w:val="TableGrid"/>
        <w:tblW w:w="9915" w:type="dxa"/>
        <w:tblInd w:w="0" w:type="dxa"/>
        <w:tblLayout w:type="fixed"/>
        <w:tblLook w:val="04A0" w:firstRow="1" w:lastRow="0" w:firstColumn="1" w:lastColumn="0" w:noHBand="0" w:noVBand="1"/>
      </w:tblPr>
      <w:tblGrid>
        <w:gridCol w:w="8497"/>
        <w:gridCol w:w="1418"/>
      </w:tblGrid>
      <w:tr w:rsidR="005F4F9B" w14:paraId="1F2DEC66" w14:textId="77777777" w:rsidTr="005F4F9B">
        <w:tc>
          <w:tcPr>
            <w:tcW w:w="8500" w:type="dxa"/>
            <w:tcBorders>
              <w:top w:val="single" w:sz="4" w:space="0" w:color="auto"/>
              <w:left w:val="single" w:sz="4" w:space="0" w:color="auto"/>
              <w:bottom w:val="single" w:sz="4" w:space="0" w:color="auto"/>
              <w:right w:val="single" w:sz="4" w:space="0" w:color="auto"/>
            </w:tcBorders>
            <w:hideMark/>
          </w:tcPr>
          <w:p w14:paraId="57C017AE" w14:textId="77777777" w:rsidR="005F4F9B" w:rsidRDefault="005F4F9B">
            <w:pPr>
              <w:rPr>
                <w:rFonts w:ascii="Times New Roman" w:hAnsi="Times New Roman" w:cs="Times New Roman"/>
              </w:rPr>
            </w:pPr>
            <w:r>
              <w:rPr>
                <w:rFonts w:ascii="Times New Roman" w:hAnsi="Times New Roman" w:cs="Times New Roman"/>
              </w:rPr>
              <w:t>Paper</w:t>
            </w:r>
          </w:p>
        </w:tc>
        <w:tc>
          <w:tcPr>
            <w:tcW w:w="1418" w:type="dxa"/>
            <w:tcBorders>
              <w:top w:val="single" w:sz="4" w:space="0" w:color="auto"/>
              <w:left w:val="single" w:sz="4" w:space="0" w:color="auto"/>
              <w:bottom w:val="single" w:sz="4" w:space="0" w:color="auto"/>
              <w:right w:val="single" w:sz="4" w:space="0" w:color="auto"/>
            </w:tcBorders>
            <w:hideMark/>
          </w:tcPr>
          <w:p w14:paraId="7F59480C" w14:textId="77777777" w:rsidR="005F4F9B" w:rsidRDefault="005F4F9B">
            <w:pPr>
              <w:rPr>
                <w:rFonts w:ascii="Times New Roman" w:hAnsi="Times New Roman" w:cs="Times New Roman"/>
              </w:rPr>
            </w:pPr>
            <w:r>
              <w:rPr>
                <w:rFonts w:ascii="Times New Roman" w:hAnsi="Times New Roman" w:cs="Times New Roman"/>
              </w:rPr>
              <w:t xml:space="preserve">Citations </w:t>
            </w:r>
          </w:p>
        </w:tc>
      </w:tr>
      <w:tr w:rsidR="005F4F9B" w14:paraId="7E185040" w14:textId="77777777" w:rsidTr="005F4F9B">
        <w:tc>
          <w:tcPr>
            <w:tcW w:w="8500" w:type="dxa"/>
            <w:tcBorders>
              <w:top w:val="single" w:sz="4" w:space="0" w:color="auto"/>
              <w:left w:val="single" w:sz="4" w:space="0" w:color="auto"/>
              <w:bottom w:val="single" w:sz="4" w:space="0" w:color="auto"/>
              <w:right w:val="single" w:sz="4" w:space="0" w:color="auto"/>
            </w:tcBorders>
            <w:hideMark/>
          </w:tcPr>
          <w:p w14:paraId="3FD2B83B" w14:textId="77777777" w:rsidR="005F4F9B" w:rsidRDefault="005F4F9B">
            <w:pPr>
              <w:rPr>
                <w:rFonts w:ascii="Times New Roman" w:eastAsia="Times New Roman" w:hAnsi="Times New Roman" w:cs="Times New Roman"/>
                <w:sz w:val="20"/>
                <w:szCs w:val="20"/>
                <w:lang w:eastAsia="en-IN"/>
              </w:rPr>
            </w:pPr>
            <w:hyperlink r:id="rId5" w:history="1">
              <w:r>
                <w:rPr>
                  <w:rStyle w:val="Hyperlink"/>
                  <w:rFonts w:ascii="Times New Roman" w:eastAsia="Times New Roman" w:hAnsi="Times New Roman" w:cs="Times New Roman"/>
                  <w:sz w:val="24"/>
                  <w:szCs w:val="24"/>
                  <w:lang w:eastAsia="en-IN"/>
                </w:rPr>
                <w:t>AKI in patients with acute on chronic liver failure is different from acute decompensation of cirrhosis</w:t>
              </w:r>
            </w:hyperlink>
          </w:p>
          <w:p w14:paraId="11F28B99" w14:textId="77777777" w:rsidR="005F4F9B" w:rsidRDefault="005F4F9B">
            <w:pPr>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R Maiwall, S Kumar, SS Chandel, G Kumar, A Rastogi, C Bihari, ...</w:t>
            </w:r>
          </w:p>
          <w:p w14:paraId="20E23018" w14:textId="77777777" w:rsidR="005F4F9B" w:rsidRDefault="005F4F9B">
            <w:pPr>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Hepatology international 9 (4), 627-639</w:t>
            </w:r>
          </w:p>
        </w:tc>
        <w:tc>
          <w:tcPr>
            <w:tcW w:w="1418" w:type="dxa"/>
            <w:tcBorders>
              <w:top w:val="single" w:sz="4" w:space="0" w:color="auto"/>
              <w:left w:val="single" w:sz="4" w:space="0" w:color="auto"/>
              <w:bottom w:val="single" w:sz="4" w:space="0" w:color="auto"/>
              <w:right w:val="single" w:sz="4" w:space="0" w:color="auto"/>
            </w:tcBorders>
            <w:hideMark/>
          </w:tcPr>
          <w:p w14:paraId="205BD573" w14:textId="77777777" w:rsidR="005F4F9B" w:rsidRDefault="005F4F9B">
            <w:pPr>
              <w:jc w:val="center"/>
              <w:rPr>
                <w:rFonts w:ascii="Times New Roman" w:eastAsia="Times New Roman" w:hAnsi="Times New Roman" w:cs="Times New Roman"/>
                <w:sz w:val="20"/>
                <w:szCs w:val="20"/>
                <w:lang w:eastAsia="en-IN"/>
              </w:rPr>
            </w:pPr>
            <w:hyperlink r:id="rId6" w:history="1">
              <w:r>
                <w:rPr>
                  <w:rStyle w:val="Hyperlink"/>
                  <w:rFonts w:ascii="Times New Roman" w:eastAsia="Times New Roman" w:hAnsi="Times New Roman" w:cs="Times New Roman"/>
                  <w:sz w:val="20"/>
                  <w:szCs w:val="20"/>
                  <w:lang w:eastAsia="en-IN"/>
                </w:rPr>
                <w:t>29</w:t>
              </w:r>
            </w:hyperlink>
          </w:p>
        </w:tc>
      </w:tr>
      <w:tr w:rsidR="005F4F9B" w14:paraId="7D0823A4" w14:textId="77777777" w:rsidTr="005F4F9B">
        <w:tc>
          <w:tcPr>
            <w:tcW w:w="8500" w:type="dxa"/>
            <w:tcBorders>
              <w:top w:val="single" w:sz="4" w:space="0" w:color="auto"/>
              <w:left w:val="single" w:sz="4" w:space="0" w:color="auto"/>
              <w:bottom w:val="single" w:sz="4" w:space="0" w:color="auto"/>
              <w:right w:val="single" w:sz="4" w:space="0" w:color="auto"/>
            </w:tcBorders>
            <w:hideMark/>
          </w:tcPr>
          <w:tbl>
            <w:tblPr>
              <w:tblW w:w="12990" w:type="dxa"/>
              <w:shd w:val="clear" w:color="auto" w:fill="FFFFFF"/>
              <w:tblLayout w:type="fixed"/>
              <w:tblCellMar>
                <w:left w:w="0" w:type="dxa"/>
                <w:right w:w="0" w:type="dxa"/>
              </w:tblCellMar>
              <w:tblLook w:val="04A0" w:firstRow="1" w:lastRow="0" w:firstColumn="1" w:lastColumn="0" w:noHBand="0" w:noVBand="1"/>
            </w:tblPr>
            <w:tblGrid>
              <w:gridCol w:w="11757"/>
              <w:gridCol w:w="464"/>
              <w:gridCol w:w="769"/>
            </w:tblGrid>
            <w:tr w:rsidR="005F4F9B" w14:paraId="24FE110F" w14:textId="77777777">
              <w:tc>
                <w:tcPr>
                  <w:tcW w:w="11757" w:type="dxa"/>
                  <w:shd w:val="clear" w:color="auto" w:fill="FFFFFF"/>
                  <w:tcMar>
                    <w:top w:w="180" w:type="dxa"/>
                    <w:left w:w="60" w:type="dxa"/>
                    <w:bottom w:w="0" w:type="dxa"/>
                    <w:right w:w="120" w:type="dxa"/>
                  </w:tcMar>
                  <w:hideMark/>
                </w:tcPr>
                <w:p w14:paraId="05CB9F4A" w14:textId="77777777" w:rsidR="005F4F9B" w:rsidRDefault="005F4F9B">
                  <w:pPr>
                    <w:spacing w:after="0" w:line="240" w:lineRule="auto"/>
                    <w:rPr>
                      <w:rFonts w:ascii="Times New Roman" w:eastAsia="Times New Roman" w:hAnsi="Times New Roman" w:cs="Times New Roman"/>
                      <w:sz w:val="20"/>
                      <w:szCs w:val="20"/>
                      <w:lang w:eastAsia="en-IN"/>
                    </w:rPr>
                  </w:pPr>
                  <w:hyperlink r:id="rId7" w:history="1">
                    <w:proofErr w:type="spellStart"/>
                    <w:r>
                      <w:rPr>
                        <w:rStyle w:val="Hyperlink"/>
                        <w:rFonts w:ascii="Times New Roman" w:eastAsia="Times New Roman" w:hAnsi="Times New Roman" w:cs="Times New Roman"/>
                        <w:sz w:val="24"/>
                        <w:szCs w:val="24"/>
                        <w:lang w:eastAsia="en-IN"/>
                      </w:rPr>
                      <w:t>Terlipressin</w:t>
                    </w:r>
                    <w:proofErr w:type="spellEnd"/>
                    <w:r>
                      <w:rPr>
                        <w:rStyle w:val="Hyperlink"/>
                        <w:rFonts w:ascii="Times New Roman" w:eastAsia="Times New Roman" w:hAnsi="Times New Roman" w:cs="Times New Roman"/>
                        <w:sz w:val="24"/>
                        <w:szCs w:val="24"/>
                        <w:lang w:eastAsia="en-IN"/>
                      </w:rPr>
                      <w:t xml:space="preserve"> is superior to noradrenaline in the management of acute kidney injury in acute on chronic liver failure</w:t>
                    </w:r>
                  </w:hyperlink>
                </w:p>
                <w:p w14:paraId="6FAA8D0E" w14:textId="77777777" w:rsidR="005F4F9B" w:rsidRDefault="005F4F9B">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 xml:space="preserve">V Arora, R Maiwall, V Rajan, A Jindal, S Muralikrishna </w:t>
                  </w:r>
                  <w:proofErr w:type="spellStart"/>
                  <w:r>
                    <w:rPr>
                      <w:rFonts w:ascii="Times New Roman" w:eastAsia="Times New Roman" w:hAnsi="Times New Roman" w:cs="Times New Roman"/>
                      <w:sz w:val="20"/>
                      <w:szCs w:val="20"/>
                      <w:lang w:eastAsia="en-IN"/>
                    </w:rPr>
                    <w:t>Shasthry</w:t>
                  </w:r>
                  <w:proofErr w:type="spellEnd"/>
                  <w:r>
                    <w:rPr>
                      <w:rFonts w:ascii="Times New Roman" w:eastAsia="Times New Roman" w:hAnsi="Times New Roman" w:cs="Times New Roman"/>
                      <w:sz w:val="20"/>
                      <w:szCs w:val="20"/>
                      <w:lang w:eastAsia="en-IN"/>
                    </w:rPr>
                    <w:t>, G Kumar, ...</w:t>
                  </w:r>
                </w:p>
                <w:p w14:paraId="7CF2549C" w14:textId="77777777" w:rsidR="005F4F9B" w:rsidRDefault="005F4F9B">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Hepatology 71 (2), 600-610</w:t>
                  </w:r>
                </w:p>
              </w:tc>
              <w:tc>
                <w:tcPr>
                  <w:tcW w:w="464" w:type="dxa"/>
                  <w:shd w:val="clear" w:color="auto" w:fill="FFFFFF"/>
                  <w:tcMar>
                    <w:top w:w="180" w:type="dxa"/>
                    <w:left w:w="120" w:type="dxa"/>
                    <w:bottom w:w="0" w:type="dxa"/>
                    <w:right w:w="120" w:type="dxa"/>
                  </w:tcMar>
                  <w:hideMark/>
                </w:tcPr>
                <w:p w14:paraId="77A4CEB1" w14:textId="77777777" w:rsidR="005F4F9B" w:rsidRDefault="005F4F9B">
                  <w:pPr>
                    <w:spacing w:after="0" w:line="240" w:lineRule="auto"/>
                    <w:jc w:val="right"/>
                    <w:rPr>
                      <w:rFonts w:ascii="Times New Roman" w:eastAsia="Times New Roman" w:hAnsi="Times New Roman" w:cs="Times New Roman"/>
                      <w:sz w:val="20"/>
                      <w:szCs w:val="20"/>
                      <w:lang w:eastAsia="en-IN"/>
                    </w:rPr>
                  </w:pPr>
                  <w:hyperlink r:id="rId8" w:history="1">
                    <w:r>
                      <w:rPr>
                        <w:rStyle w:val="Hyperlink"/>
                        <w:rFonts w:ascii="Times New Roman" w:eastAsia="Times New Roman" w:hAnsi="Times New Roman" w:cs="Times New Roman"/>
                        <w:sz w:val="20"/>
                        <w:szCs w:val="20"/>
                        <w:lang w:eastAsia="en-IN"/>
                      </w:rPr>
                      <w:t>78</w:t>
                    </w:r>
                  </w:hyperlink>
                </w:p>
              </w:tc>
              <w:tc>
                <w:tcPr>
                  <w:tcW w:w="769" w:type="dxa"/>
                  <w:shd w:val="clear" w:color="auto" w:fill="FFFFFF"/>
                  <w:tcMar>
                    <w:top w:w="180" w:type="dxa"/>
                    <w:left w:w="120" w:type="dxa"/>
                    <w:bottom w:w="0" w:type="dxa"/>
                    <w:right w:w="210" w:type="dxa"/>
                  </w:tcMar>
                  <w:hideMark/>
                </w:tcPr>
                <w:p w14:paraId="089A5D68" w14:textId="77777777" w:rsidR="005F4F9B" w:rsidRDefault="005F4F9B">
                  <w:pPr>
                    <w:spacing w:after="0" w:line="240" w:lineRule="auto"/>
                    <w:jc w:val="right"/>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2020</w:t>
                  </w:r>
                </w:p>
              </w:tc>
            </w:tr>
          </w:tbl>
          <w:p w14:paraId="41E141B8" w14:textId="77777777" w:rsidR="005F4F9B" w:rsidRDefault="005F4F9B">
            <w:pPr>
              <w:rPr>
                <w:rFonts w:ascii="Times New Roman" w:hAnsi="Times New Roman" w:cs="Times New Roman"/>
              </w:rPr>
            </w:pPr>
          </w:p>
        </w:tc>
        <w:tc>
          <w:tcPr>
            <w:tcW w:w="1418" w:type="dxa"/>
            <w:tcBorders>
              <w:top w:val="single" w:sz="4" w:space="0" w:color="auto"/>
              <w:left w:val="single" w:sz="4" w:space="0" w:color="auto"/>
              <w:bottom w:val="single" w:sz="4" w:space="0" w:color="auto"/>
              <w:right w:val="single" w:sz="4" w:space="0" w:color="auto"/>
            </w:tcBorders>
            <w:hideMark/>
          </w:tcPr>
          <w:p w14:paraId="79A2FE71" w14:textId="77777777" w:rsidR="005F4F9B" w:rsidRDefault="005F4F9B">
            <w:pPr>
              <w:jc w:val="center"/>
              <w:rPr>
                <w:rFonts w:ascii="Times New Roman" w:hAnsi="Times New Roman" w:cs="Times New Roman"/>
              </w:rPr>
            </w:pPr>
            <w:r>
              <w:rPr>
                <w:rFonts w:ascii="Times New Roman" w:hAnsi="Times New Roman" w:cs="Times New Roman"/>
              </w:rPr>
              <w:t>78</w:t>
            </w:r>
          </w:p>
        </w:tc>
      </w:tr>
      <w:tr w:rsidR="005F4F9B" w14:paraId="1A794E18" w14:textId="77777777" w:rsidTr="005F4F9B">
        <w:tc>
          <w:tcPr>
            <w:tcW w:w="8500" w:type="dxa"/>
            <w:tcBorders>
              <w:top w:val="single" w:sz="4" w:space="0" w:color="auto"/>
              <w:left w:val="single" w:sz="4" w:space="0" w:color="auto"/>
              <w:bottom w:val="single" w:sz="4" w:space="0" w:color="auto"/>
              <w:right w:val="single" w:sz="4" w:space="0" w:color="auto"/>
            </w:tcBorders>
          </w:tcPr>
          <w:p w14:paraId="3C4C4EAD" w14:textId="77777777" w:rsidR="005F4F9B" w:rsidRDefault="005F4F9B">
            <w:pPr>
              <w:rPr>
                <w:rFonts w:ascii="Times New Roman" w:hAnsi="Times New Roman" w:cs="Times New Roman"/>
              </w:rPr>
            </w:pPr>
          </w:p>
        </w:tc>
        <w:tc>
          <w:tcPr>
            <w:tcW w:w="1418" w:type="dxa"/>
            <w:tcBorders>
              <w:top w:val="single" w:sz="4" w:space="0" w:color="auto"/>
              <w:left w:val="single" w:sz="4" w:space="0" w:color="auto"/>
              <w:bottom w:val="single" w:sz="4" w:space="0" w:color="auto"/>
              <w:right w:val="single" w:sz="4" w:space="0" w:color="auto"/>
            </w:tcBorders>
          </w:tcPr>
          <w:p w14:paraId="567325AD" w14:textId="77777777" w:rsidR="005F4F9B" w:rsidRDefault="005F4F9B">
            <w:pPr>
              <w:jc w:val="center"/>
              <w:rPr>
                <w:rFonts w:ascii="Times New Roman" w:hAnsi="Times New Roman" w:cs="Times New Roman"/>
              </w:rPr>
            </w:pPr>
          </w:p>
        </w:tc>
      </w:tr>
      <w:tr w:rsidR="005F4F9B" w14:paraId="7D89E7F7" w14:textId="77777777" w:rsidTr="005F4F9B">
        <w:tc>
          <w:tcPr>
            <w:tcW w:w="8500" w:type="dxa"/>
            <w:tcBorders>
              <w:top w:val="single" w:sz="4" w:space="0" w:color="auto"/>
              <w:left w:val="single" w:sz="4" w:space="0" w:color="auto"/>
              <w:bottom w:val="single" w:sz="4" w:space="0" w:color="auto"/>
              <w:right w:val="single" w:sz="4" w:space="0" w:color="auto"/>
            </w:tcBorders>
            <w:hideMark/>
          </w:tcPr>
          <w:p w14:paraId="3AB5A5F1" w14:textId="77777777" w:rsidR="005F4F9B" w:rsidRDefault="005F4F9B">
            <w:pPr>
              <w:rPr>
                <w:rFonts w:ascii="Times New Roman" w:eastAsia="Times New Roman" w:hAnsi="Times New Roman" w:cs="Times New Roman"/>
                <w:sz w:val="20"/>
                <w:szCs w:val="20"/>
                <w:lang w:eastAsia="en-IN"/>
              </w:rPr>
            </w:pPr>
            <w:hyperlink r:id="rId9" w:history="1">
              <w:r>
                <w:rPr>
                  <w:rStyle w:val="Hyperlink"/>
                  <w:rFonts w:ascii="Times New Roman" w:eastAsia="Times New Roman" w:hAnsi="Times New Roman" w:cs="Times New Roman"/>
                  <w:sz w:val="24"/>
                  <w:szCs w:val="24"/>
                  <w:lang w:eastAsia="en-IN"/>
                </w:rPr>
                <w:t>Serum ferritin predicts early mortality in patients with decompensated cirrhosis</w:t>
              </w:r>
            </w:hyperlink>
          </w:p>
          <w:p w14:paraId="65ABE35E" w14:textId="77777777" w:rsidR="005F4F9B" w:rsidRDefault="005F4F9B">
            <w:pPr>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R Maiwall, S Kumar, AK Chaudhary, J Maras, Z Wani, C Kumar, A Rastogi, ...</w:t>
            </w:r>
          </w:p>
          <w:p w14:paraId="0E3E7EAB" w14:textId="77777777" w:rsidR="005F4F9B" w:rsidRDefault="005F4F9B">
            <w:pPr>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Journal of hepatology 61 (1), 43-50</w:t>
            </w:r>
          </w:p>
        </w:tc>
        <w:tc>
          <w:tcPr>
            <w:tcW w:w="1418" w:type="dxa"/>
            <w:tcBorders>
              <w:top w:val="single" w:sz="4" w:space="0" w:color="auto"/>
              <w:left w:val="single" w:sz="4" w:space="0" w:color="auto"/>
              <w:bottom w:val="single" w:sz="4" w:space="0" w:color="auto"/>
              <w:right w:val="single" w:sz="4" w:space="0" w:color="auto"/>
            </w:tcBorders>
            <w:hideMark/>
          </w:tcPr>
          <w:p w14:paraId="0E8E20B8" w14:textId="77777777" w:rsidR="005F4F9B" w:rsidRDefault="005F4F9B">
            <w:pPr>
              <w:jc w:val="center"/>
              <w:rPr>
                <w:rFonts w:ascii="Times New Roman" w:eastAsia="Times New Roman" w:hAnsi="Times New Roman" w:cs="Times New Roman"/>
                <w:sz w:val="20"/>
                <w:szCs w:val="20"/>
                <w:lang w:eastAsia="en-IN"/>
              </w:rPr>
            </w:pPr>
            <w:hyperlink r:id="rId10" w:history="1">
              <w:r>
                <w:rPr>
                  <w:rStyle w:val="Hyperlink"/>
                  <w:rFonts w:ascii="Times New Roman" w:eastAsia="Times New Roman" w:hAnsi="Times New Roman" w:cs="Times New Roman"/>
                  <w:sz w:val="20"/>
                  <w:szCs w:val="20"/>
                  <w:lang w:eastAsia="en-IN"/>
                </w:rPr>
                <w:t>50</w:t>
              </w:r>
            </w:hyperlink>
          </w:p>
        </w:tc>
      </w:tr>
      <w:tr w:rsidR="005F4F9B" w14:paraId="0DD28987" w14:textId="77777777" w:rsidTr="005F4F9B">
        <w:tc>
          <w:tcPr>
            <w:tcW w:w="8500" w:type="dxa"/>
            <w:tcBorders>
              <w:top w:val="single" w:sz="4" w:space="0" w:color="auto"/>
              <w:left w:val="single" w:sz="4" w:space="0" w:color="auto"/>
              <w:bottom w:val="single" w:sz="4" w:space="0" w:color="auto"/>
              <w:right w:val="single" w:sz="4" w:space="0" w:color="auto"/>
            </w:tcBorders>
          </w:tcPr>
          <w:p w14:paraId="2E94E69E" w14:textId="77777777" w:rsidR="005F4F9B" w:rsidRDefault="005F4F9B">
            <w:pPr>
              <w:rPr>
                <w:rFonts w:ascii="Times New Roman" w:eastAsia="Times New Roman" w:hAnsi="Times New Roman" w:cs="Times New Roman"/>
                <w:sz w:val="24"/>
                <w:szCs w:val="24"/>
                <w:lang w:eastAsia="en-IN"/>
              </w:rPr>
            </w:pPr>
            <w:hyperlink r:id="rId11" w:history="1">
              <w:r>
                <w:rPr>
                  <w:rStyle w:val="Hyperlink"/>
                  <w:rFonts w:ascii="Times New Roman" w:eastAsia="Times New Roman" w:hAnsi="Times New Roman" w:cs="Times New Roman"/>
                  <w:sz w:val="24"/>
                  <w:szCs w:val="24"/>
                  <w:shd w:val="clear" w:color="auto" w:fill="FFFFFF"/>
                  <w:lang w:eastAsia="en-IN"/>
                </w:rPr>
                <w:t>SIRS at admission is a predictor of AKI development and mortality in hospitalized patients with severe alcoholic hepatitis</w:t>
              </w:r>
            </w:hyperlink>
          </w:p>
          <w:p w14:paraId="216006DA" w14:textId="77777777" w:rsidR="005F4F9B" w:rsidRDefault="005F4F9B">
            <w:pPr>
              <w:shd w:val="clear" w:color="auto" w:fill="FFFFFF"/>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R Maiwall, SS Chandel, Z Wani, S Kumar, SK Sarin</w:t>
            </w:r>
          </w:p>
          <w:p w14:paraId="7BF3AFA9" w14:textId="77777777" w:rsidR="005F4F9B" w:rsidRDefault="005F4F9B">
            <w:pPr>
              <w:shd w:val="clear" w:color="auto" w:fill="FFFFFF"/>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Digestive diseases and sciences 61 (3), 920-929</w:t>
            </w:r>
          </w:p>
          <w:p w14:paraId="4EA6D7C3" w14:textId="77777777" w:rsidR="005F4F9B" w:rsidRDefault="005F4F9B">
            <w:pPr>
              <w:rPr>
                <w:rFonts w:ascii="Times New Roman" w:hAnsi="Times New Roman" w:cs="Times New Roman"/>
              </w:rPr>
            </w:pPr>
          </w:p>
        </w:tc>
        <w:tc>
          <w:tcPr>
            <w:tcW w:w="1418" w:type="dxa"/>
            <w:tcBorders>
              <w:top w:val="single" w:sz="4" w:space="0" w:color="auto"/>
              <w:left w:val="single" w:sz="4" w:space="0" w:color="auto"/>
              <w:bottom w:val="single" w:sz="4" w:space="0" w:color="auto"/>
              <w:right w:val="single" w:sz="4" w:space="0" w:color="auto"/>
            </w:tcBorders>
            <w:hideMark/>
          </w:tcPr>
          <w:p w14:paraId="71B026EF" w14:textId="77777777" w:rsidR="005F4F9B" w:rsidRDefault="005F4F9B">
            <w:pPr>
              <w:jc w:val="center"/>
              <w:rPr>
                <w:rFonts w:ascii="Times New Roman" w:hAnsi="Times New Roman" w:cs="Times New Roman"/>
              </w:rPr>
            </w:pPr>
            <w:r>
              <w:rPr>
                <w:rFonts w:ascii="Times New Roman" w:hAnsi="Times New Roman" w:cs="Times New Roman"/>
              </w:rPr>
              <w:t>41</w:t>
            </w:r>
          </w:p>
        </w:tc>
      </w:tr>
      <w:tr w:rsidR="005F4F9B" w14:paraId="093F5057" w14:textId="77777777" w:rsidTr="005F4F9B">
        <w:tc>
          <w:tcPr>
            <w:tcW w:w="8500" w:type="dxa"/>
            <w:tcBorders>
              <w:top w:val="single" w:sz="4" w:space="0" w:color="auto"/>
              <w:left w:val="single" w:sz="4" w:space="0" w:color="auto"/>
              <w:bottom w:val="single" w:sz="4" w:space="0" w:color="auto"/>
              <w:right w:val="single" w:sz="4" w:space="0" w:color="auto"/>
            </w:tcBorders>
            <w:hideMark/>
          </w:tcPr>
          <w:p w14:paraId="60F2A654" w14:textId="77777777" w:rsidR="005F4F9B" w:rsidRDefault="005F4F9B">
            <w:pPr>
              <w:rPr>
                <w:rFonts w:ascii="Times New Roman" w:eastAsia="Times New Roman" w:hAnsi="Times New Roman" w:cs="Times New Roman"/>
                <w:sz w:val="20"/>
                <w:szCs w:val="20"/>
                <w:lang w:eastAsia="en-IN"/>
              </w:rPr>
            </w:pPr>
            <w:hyperlink r:id="rId12" w:history="1">
              <w:r>
                <w:rPr>
                  <w:rStyle w:val="Hyperlink"/>
                  <w:rFonts w:ascii="Times New Roman" w:eastAsia="Times New Roman" w:hAnsi="Times New Roman" w:cs="Times New Roman"/>
                  <w:sz w:val="24"/>
                  <w:szCs w:val="24"/>
                  <w:lang w:eastAsia="en-IN"/>
                </w:rPr>
                <w:t xml:space="preserve">Cystatin C predicts acute kidney injury and mortality in </w:t>
              </w:r>
              <w:proofErr w:type="spellStart"/>
              <w:r>
                <w:rPr>
                  <w:rStyle w:val="Hyperlink"/>
                  <w:rFonts w:ascii="Times New Roman" w:eastAsia="Times New Roman" w:hAnsi="Times New Roman" w:cs="Times New Roman"/>
                  <w:sz w:val="24"/>
                  <w:szCs w:val="24"/>
                  <w:lang w:eastAsia="en-IN"/>
                </w:rPr>
                <w:t>cirrhotics</w:t>
              </w:r>
              <w:proofErr w:type="spellEnd"/>
              <w:r>
                <w:rPr>
                  <w:rStyle w:val="Hyperlink"/>
                  <w:rFonts w:ascii="Times New Roman" w:eastAsia="Times New Roman" w:hAnsi="Times New Roman" w:cs="Times New Roman"/>
                  <w:sz w:val="24"/>
                  <w:szCs w:val="24"/>
                  <w:lang w:eastAsia="en-IN"/>
                </w:rPr>
                <w:t>: a prospective cohort study</w:t>
              </w:r>
            </w:hyperlink>
          </w:p>
          <w:p w14:paraId="57E3DDC0" w14:textId="77777777" w:rsidR="005F4F9B" w:rsidRDefault="005F4F9B">
            <w:pPr>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 xml:space="preserve">R Maiwall, A Kumar, A Bhardwaj, G Kumar, AS </w:t>
            </w:r>
            <w:proofErr w:type="spellStart"/>
            <w:r>
              <w:rPr>
                <w:rFonts w:ascii="Times New Roman" w:eastAsia="Times New Roman" w:hAnsi="Times New Roman" w:cs="Times New Roman"/>
                <w:sz w:val="20"/>
                <w:szCs w:val="20"/>
                <w:lang w:eastAsia="en-IN"/>
              </w:rPr>
              <w:t>Bhadoria</w:t>
            </w:r>
            <w:proofErr w:type="spellEnd"/>
            <w:r>
              <w:rPr>
                <w:rFonts w:ascii="Times New Roman" w:eastAsia="Times New Roman" w:hAnsi="Times New Roman" w:cs="Times New Roman"/>
                <w:sz w:val="20"/>
                <w:szCs w:val="20"/>
                <w:lang w:eastAsia="en-IN"/>
              </w:rPr>
              <w:t>, SK Sarin</w:t>
            </w:r>
          </w:p>
          <w:p w14:paraId="5BBEE48B" w14:textId="77777777" w:rsidR="005F4F9B" w:rsidRDefault="005F4F9B">
            <w:pPr>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Liver International 38 (4), 654-664</w:t>
            </w:r>
          </w:p>
        </w:tc>
        <w:tc>
          <w:tcPr>
            <w:tcW w:w="1418" w:type="dxa"/>
            <w:tcBorders>
              <w:top w:val="single" w:sz="4" w:space="0" w:color="auto"/>
              <w:left w:val="single" w:sz="4" w:space="0" w:color="auto"/>
              <w:bottom w:val="single" w:sz="4" w:space="0" w:color="auto"/>
              <w:right w:val="single" w:sz="4" w:space="0" w:color="auto"/>
            </w:tcBorders>
            <w:hideMark/>
          </w:tcPr>
          <w:p w14:paraId="45528183" w14:textId="77777777" w:rsidR="005F4F9B" w:rsidRDefault="005F4F9B">
            <w:pPr>
              <w:jc w:val="center"/>
              <w:rPr>
                <w:rFonts w:ascii="Times New Roman" w:eastAsia="Times New Roman" w:hAnsi="Times New Roman" w:cs="Times New Roman"/>
                <w:sz w:val="20"/>
                <w:szCs w:val="20"/>
                <w:lang w:eastAsia="en-IN"/>
              </w:rPr>
            </w:pPr>
            <w:hyperlink r:id="rId13" w:history="1">
              <w:r>
                <w:rPr>
                  <w:rStyle w:val="Hyperlink"/>
                  <w:rFonts w:ascii="Times New Roman" w:eastAsia="Times New Roman" w:hAnsi="Times New Roman" w:cs="Times New Roman"/>
                  <w:sz w:val="20"/>
                  <w:szCs w:val="20"/>
                  <w:lang w:eastAsia="en-IN"/>
                </w:rPr>
                <w:t>37</w:t>
              </w:r>
            </w:hyperlink>
          </w:p>
        </w:tc>
      </w:tr>
      <w:tr w:rsidR="005F4F9B" w14:paraId="571AF317" w14:textId="77777777" w:rsidTr="005F4F9B">
        <w:tc>
          <w:tcPr>
            <w:tcW w:w="8500" w:type="dxa"/>
            <w:tcBorders>
              <w:top w:val="single" w:sz="4" w:space="0" w:color="auto"/>
              <w:left w:val="single" w:sz="4" w:space="0" w:color="auto"/>
              <w:bottom w:val="single" w:sz="4" w:space="0" w:color="auto"/>
              <w:right w:val="single" w:sz="4" w:space="0" w:color="auto"/>
            </w:tcBorders>
            <w:hideMark/>
          </w:tcPr>
          <w:tbl>
            <w:tblPr>
              <w:tblW w:w="12990" w:type="dxa"/>
              <w:shd w:val="clear" w:color="auto" w:fill="FFFFFF"/>
              <w:tblLayout w:type="fixed"/>
              <w:tblCellMar>
                <w:left w:w="0" w:type="dxa"/>
                <w:right w:w="0" w:type="dxa"/>
              </w:tblCellMar>
              <w:tblLook w:val="04A0" w:firstRow="1" w:lastRow="0" w:firstColumn="1" w:lastColumn="0" w:noHBand="0" w:noVBand="1"/>
            </w:tblPr>
            <w:tblGrid>
              <w:gridCol w:w="12206"/>
              <w:gridCol w:w="784"/>
            </w:tblGrid>
            <w:tr w:rsidR="005F4F9B" w14:paraId="6F9160F1" w14:textId="77777777">
              <w:tc>
                <w:tcPr>
                  <w:tcW w:w="12206" w:type="dxa"/>
                  <w:shd w:val="clear" w:color="auto" w:fill="FFFFFF"/>
                  <w:tcMar>
                    <w:top w:w="180" w:type="dxa"/>
                    <w:left w:w="60" w:type="dxa"/>
                    <w:bottom w:w="0" w:type="dxa"/>
                    <w:right w:w="120" w:type="dxa"/>
                  </w:tcMar>
                  <w:hideMark/>
                </w:tcPr>
                <w:p w14:paraId="5CF9D399" w14:textId="77777777" w:rsidR="005F4F9B" w:rsidRDefault="005F4F9B">
                  <w:pPr>
                    <w:spacing w:after="0" w:line="240" w:lineRule="auto"/>
                    <w:rPr>
                      <w:rFonts w:ascii="Times New Roman" w:eastAsia="Times New Roman" w:hAnsi="Times New Roman" w:cs="Times New Roman"/>
                      <w:sz w:val="20"/>
                      <w:szCs w:val="20"/>
                      <w:lang w:eastAsia="en-IN"/>
                    </w:rPr>
                  </w:pPr>
                  <w:hyperlink r:id="rId14" w:history="1">
                    <w:r>
                      <w:rPr>
                        <w:rStyle w:val="Hyperlink"/>
                        <w:rFonts w:ascii="Times New Roman" w:eastAsia="Times New Roman" w:hAnsi="Times New Roman" w:cs="Times New Roman"/>
                        <w:sz w:val="24"/>
                        <w:szCs w:val="24"/>
                        <w:lang w:eastAsia="en-IN"/>
                      </w:rPr>
                      <w:t>Epidemiology and effects of bacterial infections in patients with cirrhosis worldwide</w:t>
                    </w:r>
                  </w:hyperlink>
                </w:p>
                <w:p w14:paraId="7737850C" w14:textId="77777777" w:rsidR="005F4F9B" w:rsidRDefault="005F4F9B">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 xml:space="preserve">S Piano, V Singh, P </w:t>
                  </w:r>
                  <w:proofErr w:type="spellStart"/>
                  <w:r>
                    <w:rPr>
                      <w:rFonts w:ascii="Times New Roman" w:eastAsia="Times New Roman" w:hAnsi="Times New Roman" w:cs="Times New Roman"/>
                      <w:sz w:val="20"/>
                      <w:szCs w:val="20"/>
                      <w:lang w:eastAsia="en-IN"/>
                    </w:rPr>
                    <w:t>Caraceni</w:t>
                  </w:r>
                  <w:proofErr w:type="spellEnd"/>
                  <w:r>
                    <w:rPr>
                      <w:rFonts w:ascii="Times New Roman" w:eastAsia="Times New Roman" w:hAnsi="Times New Roman" w:cs="Times New Roman"/>
                      <w:sz w:val="20"/>
                      <w:szCs w:val="20"/>
                      <w:lang w:eastAsia="en-IN"/>
                    </w:rPr>
                    <w:t>, R Maiwall, C Alessandria, J Fernandez, ...</w:t>
                  </w:r>
                </w:p>
                <w:p w14:paraId="27F80FDA" w14:textId="77777777" w:rsidR="005F4F9B" w:rsidRDefault="005F4F9B">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Gastroenterology 156 (5), 1368-1380. e10</w:t>
                  </w:r>
                </w:p>
              </w:tc>
              <w:tc>
                <w:tcPr>
                  <w:tcW w:w="784" w:type="dxa"/>
                  <w:shd w:val="clear" w:color="auto" w:fill="FFFFFF"/>
                  <w:tcMar>
                    <w:top w:w="180" w:type="dxa"/>
                    <w:left w:w="120" w:type="dxa"/>
                    <w:bottom w:w="0" w:type="dxa"/>
                    <w:right w:w="120" w:type="dxa"/>
                  </w:tcMar>
                  <w:hideMark/>
                </w:tcPr>
                <w:p w14:paraId="7284E6A6" w14:textId="77777777" w:rsidR="005F4F9B" w:rsidRDefault="005F4F9B">
                  <w:pPr>
                    <w:spacing w:after="0" w:line="240" w:lineRule="auto"/>
                    <w:jc w:val="right"/>
                    <w:rPr>
                      <w:rFonts w:ascii="Times New Roman" w:eastAsia="Times New Roman" w:hAnsi="Times New Roman" w:cs="Times New Roman"/>
                      <w:sz w:val="20"/>
                      <w:szCs w:val="20"/>
                      <w:lang w:eastAsia="en-IN"/>
                    </w:rPr>
                  </w:pPr>
                  <w:hyperlink r:id="rId15" w:history="1">
                    <w:r>
                      <w:rPr>
                        <w:rStyle w:val="Hyperlink"/>
                        <w:rFonts w:ascii="Times New Roman" w:eastAsia="Times New Roman" w:hAnsi="Times New Roman" w:cs="Times New Roman"/>
                        <w:sz w:val="20"/>
                        <w:szCs w:val="20"/>
                        <w:lang w:eastAsia="en-IN"/>
                      </w:rPr>
                      <w:t>152</w:t>
                    </w:r>
                  </w:hyperlink>
                </w:p>
              </w:tc>
            </w:tr>
          </w:tbl>
          <w:p w14:paraId="3740FA75" w14:textId="77777777" w:rsidR="005F4F9B" w:rsidRDefault="005F4F9B">
            <w:pPr>
              <w:rPr>
                <w:rFonts w:ascii="Times New Roman" w:hAnsi="Times New Roman" w:cs="Times New Roman"/>
              </w:rPr>
            </w:pPr>
          </w:p>
        </w:tc>
        <w:tc>
          <w:tcPr>
            <w:tcW w:w="1418" w:type="dxa"/>
            <w:tcBorders>
              <w:top w:val="single" w:sz="4" w:space="0" w:color="auto"/>
              <w:left w:val="single" w:sz="4" w:space="0" w:color="auto"/>
              <w:bottom w:val="single" w:sz="4" w:space="0" w:color="auto"/>
              <w:right w:val="single" w:sz="4" w:space="0" w:color="auto"/>
            </w:tcBorders>
            <w:hideMark/>
          </w:tcPr>
          <w:p w14:paraId="52D52C8D" w14:textId="77777777" w:rsidR="005F4F9B" w:rsidRDefault="005F4F9B">
            <w:pPr>
              <w:jc w:val="center"/>
            </w:pPr>
            <w:r>
              <w:t>152</w:t>
            </w:r>
          </w:p>
        </w:tc>
      </w:tr>
      <w:tr w:rsidR="005F4F9B" w14:paraId="4E7974A5" w14:textId="77777777" w:rsidTr="005F4F9B">
        <w:tc>
          <w:tcPr>
            <w:tcW w:w="8500" w:type="dxa"/>
            <w:tcBorders>
              <w:top w:val="single" w:sz="4" w:space="0" w:color="auto"/>
              <w:left w:val="single" w:sz="4" w:space="0" w:color="auto"/>
              <w:bottom w:val="single" w:sz="4" w:space="0" w:color="auto"/>
              <w:right w:val="single" w:sz="4" w:space="0" w:color="auto"/>
            </w:tcBorders>
            <w:hideMark/>
          </w:tcPr>
          <w:p w14:paraId="3FEC9957" w14:textId="77777777" w:rsidR="005F4F9B" w:rsidRDefault="005F4F9B">
            <w:pPr>
              <w:rPr>
                <w:rFonts w:ascii="Times New Roman" w:eastAsia="Times New Roman" w:hAnsi="Times New Roman" w:cs="Times New Roman"/>
                <w:sz w:val="20"/>
                <w:szCs w:val="20"/>
                <w:lang w:eastAsia="en-IN"/>
              </w:rPr>
            </w:pPr>
            <w:hyperlink r:id="rId16" w:history="1">
              <w:r>
                <w:rPr>
                  <w:rStyle w:val="Hyperlink"/>
                  <w:rFonts w:ascii="Times New Roman" w:eastAsia="Times New Roman" w:hAnsi="Times New Roman" w:cs="Times New Roman"/>
                  <w:sz w:val="24"/>
                  <w:szCs w:val="24"/>
                  <w:lang w:eastAsia="en-IN"/>
                </w:rPr>
                <w:t xml:space="preserve">Evaluation of acute kidney injury and its response to </w:t>
              </w:r>
              <w:proofErr w:type="spellStart"/>
              <w:r>
                <w:rPr>
                  <w:rStyle w:val="Hyperlink"/>
                  <w:rFonts w:ascii="Times New Roman" w:eastAsia="Times New Roman" w:hAnsi="Times New Roman" w:cs="Times New Roman"/>
                  <w:sz w:val="24"/>
                  <w:szCs w:val="24"/>
                  <w:lang w:eastAsia="en-IN"/>
                </w:rPr>
                <w:t>terlipressin</w:t>
              </w:r>
              <w:proofErr w:type="spellEnd"/>
              <w:r>
                <w:rPr>
                  <w:rStyle w:val="Hyperlink"/>
                  <w:rFonts w:ascii="Times New Roman" w:eastAsia="Times New Roman" w:hAnsi="Times New Roman" w:cs="Times New Roman"/>
                  <w:sz w:val="24"/>
                  <w:szCs w:val="24"/>
                  <w:lang w:eastAsia="en-IN"/>
                </w:rPr>
                <w:t xml:space="preserve"> in patients with acute‐on‐chronic liver failure</w:t>
              </w:r>
            </w:hyperlink>
          </w:p>
          <w:p w14:paraId="72C36C3A" w14:textId="77777777" w:rsidR="005F4F9B" w:rsidRDefault="005F4F9B">
            <w:pPr>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 xml:space="preserve">A Jindal, AS </w:t>
            </w:r>
            <w:proofErr w:type="spellStart"/>
            <w:r>
              <w:rPr>
                <w:rFonts w:ascii="Times New Roman" w:eastAsia="Times New Roman" w:hAnsi="Times New Roman" w:cs="Times New Roman"/>
                <w:sz w:val="20"/>
                <w:szCs w:val="20"/>
                <w:lang w:eastAsia="en-IN"/>
              </w:rPr>
              <w:t>Bhadoria</w:t>
            </w:r>
            <w:proofErr w:type="spellEnd"/>
            <w:r>
              <w:rPr>
                <w:rFonts w:ascii="Times New Roman" w:eastAsia="Times New Roman" w:hAnsi="Times New Roman" w:cs="Times New Roman"/>
                <w:sz w:val="20"/>
                <w:szCs w:val="20"/>
                <w:lang w:eastAsia="en-IN"/>
              </w:rPr>
              <w:t>, R Maiwall, SK Sarin</w:t>
            </w:r>
          </w:p>
          <w:p w14:paraId="4E1BF42A" w14:textId="77777777" w:rsidR="005F4F9B" w:rsidRDefault="005F4F9B">
            <w:pPr>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Liver International 36 (1), 59-67</w:t>
            </w:r>
          </w:p>
        </w:tc>
        <w:tc>
          <w:tcPr>
            <w:tcW w:w="1418" w:type="dxa"/>
            <w:tcBorders>
              <w:top w:val="single" w:sz="4" w:space="0" w:color="auto"/>
              <w:left w:val="single" w:sz="4" w:space="0" w:color="auto"/>
              <w:bottom w:val="single" w:sz="4" w:space="0" w:color="auto"/>
              <w:right w:val="single" w:sz="4" w:space="0" w:color="auto"/>
            </w:tcBorders>
            <w:hideMark/>
          </w:tcPr>
          <w:p w14:paraId="2172DC48" w14:textId="77777777" w:rsidR="005F4F9B" w:rsidRDefault="005F4F9B">
            <w:pPr>
              <w:jc w:val="center"/>
              <w:rPr>
                <w:rFonts w:ascii="Times New Roman" w:eastAsia="Times New Roman" w:hAnsi="Times New Roman" w:cs="Times New Roman"/>
                <w:sz w:val="20"/>
                <w:szCs w:val="20"/>
                <w:lang w:eastAsia="en-IN"/>
              </w:rPr>
            </w:pPr>
            <w:hyperlink r:id="rId17" w:history="1">
              <w:r>
                <w:rPr>
                  <w:rStyle w:val="Hyperlink"/>
                  <w:rFonts w:ascii="Times New Roman" w:eastAsia="Times New Roman" w:hAnsi="Times New Roman" w:cs="Times New Roman"/>
                  <w:sz w:val="20"/>
                  <w:szCs w:val="20"/>
                  <w:lang w:eastAsia="en-IN"/>
                </w:rPr>
                <w:t>33</w:t>
              </w:r>
            </w:hyperlink>
          </w:p>
        </w:tc>
      </w:tr>
      <w:tr w:rsidR="005F4F9B" w14:paraId="1441AC76" w14:textId="77777777" w:rsidTr="005F4F9B">
        <w:tc>
          <w:tcPr>
            <w:tcW w:w="8500" w:type="dxa"/>
            <w:tcBorders>
              <w:top w:val="single" w:sz="4" w:space="0" w:color="auto"/>
              <w:left w:val="single" w:sz="4" w:space="0" w:color="auto"/>
              <w:bottom w:val="single" w:sz="4" w:space="0" w:color="auto"/>
              <w:right w:val="single" w:sz="4" w:space="0" w:color="auto"/>
            </w:tcBorders>
            <w:hideMark/>
          </w:tcPr>
          <w:tbl>
            <w:tblPr>
              <w:tblW w:w="12990" w:type="dxa"/>
              <w:shd w:val="clear" w:color="auto" w:fill="FFFFFF"/>
              <w:tblLayout w:type="fixed"/>
              <w:tblCellMar>
                <w:left w:w="0" w:type="dxa"/>
                <w:right w:w="0" w:type="dxa"/>
              </w:tblCellMar>
              <w:tblLook w:val="04A0" w:firstRow="1" w:lastRow="0" w:firstColumn="1" w:lastColumn="0" w:noHBand="0" w:noVBand="1"/>
            </w:tblPr>
            <w:tblGrid>
              <w:gridCol w:w="12288"/>
              <w:gridCol w:w="83"/>
              <w:gridCol w:w="619"/>
            </w:tblGrid>
            <w:tr w:rsidR="005F4F9B" w14:paraId="2E2A233B" w14:textId="77777777">
              <w:tc>
                <w:tcPr>
                  <w:tcW w:w="12288" w:type="dxa"/>
                  <w:shd w:val="clear" w:color="auto" w:fill="FFFFFF"/>
                  <w:tcMar>
                    <w:top w:w="180" w:type="dxa"/>
                    <w:left w:w="60" w:type="dxa"/>
                    <w:bottom w:w="0" w:type="dxa"/>
                    <w:right w:w="120" w:type="dxa"/>
                  </w:tcMar>
                  <w:hideMark/>
                </w:tcPr>
                <w:p w14:paraId="247CCA84" w14:textId="77777777" w:rsidR="005F4F9B" w:rsidRDefault="005F4F9B">
                  <w:pPr>
                    <w:spacing w:after="0" w:line="240" w:lineRule="auto"/>
                    <w:rPr>
                      <w:rFonts w:ascii="Times New Roman" w:eastAsia="Times New Roman" w:hAnsi="Times New Roman" w:cs="Times New Roman"/>
                      <w:sz w:val="20"/>
                      <w:szCs w:val="20"/>
                      <w:lang w:eastAsia="en-IN"/>
                    </w:rPr>
                  </w:pPr>
                  <w:hyperlink r:id="rId18" w:history="1">
                    <w:r>
                      <w:rPr>
                        <w:rStyle w:val="Hyperlink"/>
                        <w:rFonts w:ascii="Times New Roman" w:eastAsia="Times New Roman" w:hAnsi="Times New Roman" w:cs="Times New Roman"/>
                        <w:sz w:val="24"/>
                        <w:szCs w:val="24"/>
                        <w:lang w:eastAsia="en-IN"/>
                      </w:rPr>
                      <w:t>Liver dialysis in acute-on-chronic liver failure: current and future perspectives</w:t>
                    </w:r>
                  </w:hyperlink>
                </w:p>
                <w:p w14:paraId="6271E4FF" w14:textId="77777777" w:rsidR="005F4F9B" w:rsidRDefault="005F4F9B">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R Maiwall, JS Maras, SL Nayak, SK Sarin</w:t>
                  </w:r>
                </w:p>
                <w:p w14:paraId="466AE992" w14:textId="77777777" w:rsidR="005F4F9B" w:rsidRDefault="005F4F9B">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Hepatology international 8 (2), 505-513</w:t>
                  </w:r>
                </w:p>
              </w:tc>
              <w:tc>
                <w:tcPr>
                  <w:tcW w:w="702" w:type="dxa"/>
                  <w:gridSpan w:val="2"/>
                  <w:shd w:val="clear" w:color="auto" w:fill="FFFFFF"/>
                  <w:tcMar>
                    <w:top w:w="180" w:type="dxa"/>
                    <w:left w:w="120" w:type="dxa"/>
                    <w:bottom w:w="0" w:type="dxa"/>
                    <w:right w:w="120" w:type="dxa"/>
                  </w:tcMar>
                  <w:hideMark/>
                </w:tcPr>
                <w:p w14:paraId="0E8F6534" w14:textId="77777777" w:rsidR="005F4F9B" w:rsidRDefault="005F4F9B">
                  <w:pPr>
                    <w:spacing w:after="0" w:line="240" w:lineRule="auto"/>
                    <w:jc w:val="right"/>
                    <w:rPr>
                      <w:rFonts w:ascii="Times New Roman" w:eastAsia="Times New Roman" w:hAnsi="Times New Roman" w:cs="Times New Roman"/>
                      <w:sz w:val="20"/>
                      <w:szCs w:val="20"/>
                      <w:lang w:eastAsia="en-IN"/>
                    </w:rPr>
                  </w:pPr>
                  <w:hyperlink r:id="rId19" w:history="1">
                    <w:r>
                      <w:rPr>
                        <w:rStyle w:val="Hyperlink"/>
                        <w:rFonts w:ascii="Times New Roman" w:eastAsia="Times New Roman" w:hAnsi="Times New Roman" w:cs="Times New Roman"/>
                        <w:sz w:val="20"/>
                        <w:szCs w:val="20"/>
                        <w:lang w:eastAsia="en-IN"/>
                      </w:rPr>
                      <w:t>31</w:t>
                    </w:r>
                  </w:hyperlink>
                </w:p>
              </w:tc>
            </w:tr>
            <w:tr w:rsidR="005F4F9B" w14:paraId="5460802F" w14:textId="77777777">
              <w:tc>
                <w:tcPr>
                  <w:tcW w:w="12371" w:type="dxa"/>
                  <w:gridSpan w:val="2"/>
                  <w:shd w:val="clear" w:color="auto" w:fill="FFFFFF"/>
                  <w:tcMar>
                    <w:top w:w="180" w:type="dxa"/>
                    <w:left w:w="60" w:type="dxa"/>
                    <w:bottom w:w="0" w:type="dxa"/>
                    <w:right w:w="120" w:type="dxa"/>
                  </w:tcMar>
                  <w:hideMark/>
                </w:tcPr>
                <w:p w14:paraId="21964FC6" w14:textId="77777777" w:rsidR="005F4F9B" w:rsidRDefault="005F4F9B">
                  <w:pPr>
                    <w:spacing w:after="0" w:line="240" w:lineRule="auto"/>
                    <w:rPr>
                      <w:rFonts w:ascii="Times New Roman" w:eastAsia="Times New Roman" w:hAnsi="Times New Roman" w:cs="Times New Roman"/>
                      <w:sz w:val="20"/>
                      <w:szCs w:val="20"/>
                      <w:lang w:eastAsia="en-IN"/>
                    </w:rPr>
                  </w:pPr>
                  <w:hyperlink r:id="rId20" w:history="1">
                    <w:r>
                      <w:rPr>
                        <w:rStyle w:val="Hyperlink"/>
                        <w:rFonts w:ascii="Times New Roman" w:eastAsia="Times New Roman" w:hAnsi="Times New Roman" w:cs="Times New Roman"/>
                        <w:sz w:val="24"/>
                        <w:szCs w:val="24"/>
                        <w:lang w:eastAsia="en-IN"/>
                      </w:rPr>
                      <w:t>AKI persistence at 48 h predicts mortality in patients with acute on chronic liver failure</w:t>
                    </w:r>
                  </w:hyperlink>
                </w:p>
                <w:p w14:paraId="1E7F2165" w14:textId="77777777" w:rsidR="005F4F9B" w:rsidRDefault="005F4F9B">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 xml:space="preserve">R Maiwall, G Kumar, A Bharadwaj, K Jamwal, AS </w:t>
                  </w:r>
                  <w:proofErr w:type="spellStart"/>
                  <w:r>
                    <w:rPr>
                      <w:rFonts w:ascii="Times New Roman" w:eastAsia="Times New Roman" w:hAnsi="Times New Roman" w:cs="Times New Roman"/>
                      <w:sz w:val="20"/>
                      <w:szCs w:val="20"/>
                      <w:lang w:eastAsia="en-IN"/>
                    </w:rPr>
                    <w:t>Bhadoria</w:t>
                  </w:r>
                  <w:proofErr w:type="spellEnd"/>
                  <w:r>
                    <w:rPr>
                      <w:rFonts w:ascii="Times New Roman" w:eastAsia="Times New Roman" w:hAnsi="Times New Roman" w:cs="Times New Roman"/>
                      <w:sz w:val="20"/>
                      <w:szCs w:val="20"/>
                      <w:lang w:eastAsia="en-IN"/>
                    </w:rPr>
                    <w:t>, P Jain, ...</w:t>
                  </w:r>
                </w:p>
                <w:p w14:paraId="0E30D797" w14:textId="77777777" w:rsidR="005F4F9B" w:rsidRDefault="005F4F9B">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Hepatology international 11 (6), 529-539</w:t>
                  </w:r>
                </w:p>
              </w:tc>
              <w:tc>
                <w:tcPr>
                  <w:tcW w:w="619" w:type="dxa"/>
                  <w:shd w:val="clear" w:color="auto" w:fill="FFFFFF"/>
                  <w:tcMar>
                    <w:top w:w="180" w:type="dxa"/>
                    <w:left w:w="120" w:type="dxa"/>
                    <w:bottom w:w="0" w:type="dxa"/>
                    <w:right w:w="120" w:type="dxa"/>
                  </w:tcMar>
                  <w:hideMark/>
                </w:tcPr>
                <w:p w14:paraId="02CB82AB" w14:textId="77777777" w:rsidR="005F4F9B" w:rsidRDefault="005F4F9B">
                  <w:pPr>
                    <w:spacing w:after="0" w:line="240" w:lineRule="auto"/>
                    <w:jc w:val="right"/>
                    <w:rPr>
                      <w:rFonts w:ascii="Times New Roman" w:eastAsia="Times New Roman" w:hAnsi="Times New Roman" w:cs="Times New Roman"/>
                      <w:sz w:val="20"/>
                      <w:szCs w:val="20"/>
                      <w:lang w:eastAsia="en-IN"/>
                    </w:rPr>
                  </w:pPr>
                  <w:hyperlink r:id="rId21" w:history="1">
                    <w:r>
                      <w:rPr>
                        <w:rStyle w:val="Hyperlink"/>
                        <w:rFonts w:ascii="Times New Roman" w:eastAsia="Times New Roman" w:hAnsi="Times New Roman" w:cs="Times New Roman"/>
                        <w:sz w:val="20"/>
                        <w:szCs w:val="20"/>
                        <w:lang w:eastAsia="en-IN"/>
                      </w:rPr>
                      <w:t>12</w:t>
                    </w:r>
                  </w:hyperlink>
                </w:p>
              </w:tc>
            </w:tr>
            <w:tr w:rsidR="005F4F9B" w14:paraId="00E0EB98" w14:textId="77777777">
              <w:tc>
                <w:tcPr>
                  <w:tcW w:w="12288" w:type="dxa"/>
                  <w:shd w:val="clear" w:color="auto" w:fill="FFFFFF"/>
                  <w:tcMar>
                    <w:top w:w="180" w:type="dxa"/>
                    <w:left w:w="60" w:type="dxa"/>
                    <w:bottom w:w="0" w:type="dxa"/>
                    <w:right w:w="120" w:type="dxa"/>
                  </w:tcMar>
                </w:tcPr>
                <w:p w14:paraId="15226F69" w14:textId="77777777" w:rsidR="005F4F9B" w:rsidRDefault="005F4F9B">
                  <w:pPr>
                    <w:spacing w:after="0" w:line="240" w:lineRule="auto"/>
                    <w:rPr>
                      <w:rFonts w:ascii="Times New Roman" w:eastAsia="Times New Roman" w:hAnsi="Times New Roman" w:cs="Times New Roman"/>
                      <w:sz w:val="20"/>
                      <w:szCs w:val="20"/>
                      <w:lang w:eastAsia="en-IN"/>
                    </w:rPr>
                  </w:pPr>
                </w:p>
              </w:tc>
              <w:tc>
                <w:tcPr>
                  <w:tcW w:w="702" w:type="dxa"/>
                  <w:gridSpan w:val="2"/>
                  <w:shd w:val="clear" w:color="auto" w:fill="FFFFFF"/>
                  <w:tcMar>
                    <w:top w:w="180" w:type="dxa"/>
                    <w:left w:w="120" w:type="dxa"/>
                    <w:bottom w:w="0" w:type="dxa"/>
                    <w:right w:w="120" w:type="dxa"/>
                  </w:tcMar>
                </w:tcPr>
                <w:p w14:paraId="6518BB93" w14:textId="77777777" w:rsidR="005F4F9B" w:rsidRDefault="005F4F9B">
                  <w:pPr>
                    <w:spacing w:after="0" w:line="240" w:lineRule="auto"/>
                    <w:jc w:val="right"/>
                    <w:rPr>
                      <w:rFonts w:ascii="Times New Roman" w:eastAsia="Times New Roman" w:hAnsi="Times New Roman" w:cs="Times New Roman"/>
                      <w:sz w:val="20"/>
                      <w:szCs w:val="20"/>
                      <w:lang w:eastAsia="en-IN"/>
                    </w:rPr>
                  </w:pPr>
                </w:p>
              </w:tc>
            </w:tr>
          </w:tbl>
          <w:p w14:paraId="4FBADCFE" w14:textId="77777777" w:rsidR="005F4F9B" w:rsidRDefault="005F4F9B">
            <w:pPr>
              <w:rPr>
                <w:rFonts w:ascii="Times New Roman" w:eastAsia="Times New Roman" w:hAnsi="Times New Roman" w:cs="Times New Roman"/>
                <w:sz w:val="20"/>
                <w:szCs w:val="20"/>
                <w:lang w:eastAsia="en-IN"/>
              </w:rPr>
            </w:pPr>
          </w:p>
        </w:tc>
        <w:tc>
          <w:tcPr>
            <w:tcW w:w="1418" w:type="dxa"/>
            <w:tcBorders>
              <w:top w:val="single" w:sz="4" w:space="0" w:color="auto"/>
              <w:left w:val="single" w:sz="4" w:space="0" w:color="auto"/>
              <w:bottom w:val="single" w:sz="4" w:space="0" w:color="auto"/>
              <w:right w:val="single" w:sz="4" w:space="0" w:color="auto"/>
            </w:tcBorders>
          </w:tcPr>
          <w:p w14:paraId="4EBCCDA5" w14:textId="77777777" w:rsidR="005F4F9B" w:rsidRDefault="005F4F9B">
            <w:pPr>
              <w:jc w:val="center"/>
              <w:rPr>
                <w:rFonts w:ascii="Times New Roman" w:eastAsia="Times New Roman" w:hAnsi="Times New Roman" w:cs="Times New Roman"/>
                <w:sz w:val="20"/>
                <w:szCs w:val="20"/>
                <w:lang w:eastAsia="en-IN"/>
              </w:rPr>
            </w:pPr>
          </w:p>
          <w:p w14:paraId="3C2A2249" w14:textId="77777777" w:rsidR="005F4F9B" w:rsidRDefault="005F4F9B">
            <w:pPr>
              <w:jc w:val="center"/>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31</w:t>
            </w:r>
          </w:p>
          <w:p w14:paraId="37722136" w14:textId="77777777" w:rsidR="005F4F9B" w:rsidRDefault="005F4F9B">
            <w:pPr>
              <w:jc w:val="center"/>
              <w:rPr>
                <w:rFonts w:ascii="Times New Roman" w:eastAsia="Times New Roman" w:hAnsi="Times New Roman" w:cs="Times New Roman"/>
                <w:sz w:val="20"/>
                <w:szCs w:val="20"/>
                <w:lang w:eastAsia="en-IN"/>
              </w:rPr>
            </w:pPr>
          </w:p>
          <w:p w14:paraId="3070F487" w14:textId="77777777" w:rsidR="005F4F9B" w:rsidRDefault="005F4F9B">
            <w:pPr>
              <w:jc w:val="center"/>
              <w:rPr>
                <w:rFonts w:ascii="Times New Roman" w:eastAsia="Times New Roman" w:hAnsi="Times New Roman" w:cs="Times New Roman"/>
                <w:sz w:val="20"/>
                <w:szCs w:val="20"/>
                <w:lang w:eastAsia="en-IN"/>
              </w:rPr>
            </w:pPr>
          </w:p>
          <w:p w14:paraId="7861A5B2" w14:textId="77777777" w:rsidR="005F4F9B" w:rsidRDefault="005F4F9B">
            <w:pPr>
              <w:jc w:val="center"/>
              <w:rPr>
                <w:rFonts w:ascii="Times New Roman" w:eastAsia="Times New Roman" w:hAnsi="Times New Roman" w:cs="Times New Roman"/>
                <w:sz w:val="20"/>
                <w:szCs w:val="20"/>
                <w:lang w:eastAsia="en-IN"/>
              </w:rPr>
            </w:pPr>
          </w:p>
          <w:p w14:paraId="551EA8E1" w14:textId="77777777" w:rsidR="005F4F9B" w:rsidRDefault="005F4F9B">
            <w:pPr>
              <w:jc w:val="center"/>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12</w:t>
            </w:r>
          </w:p>
        </w:tc>
      </w:tr>
      <w:tr w:rsidR="005F4F9B" w14:paraId="14515AA4" w14:textId="77777777" w:rsidTr="005F4F9B">
        <w:tc>
          <w:tcPr>
            <w:tcW w:w="8500" w:type="dxa"/>
            <w:tcBorders>
              <w:top w:val="single" w:sz="4" w:space="0" w:color="auto"/>
              <w:left w:val="single" w:sz="4" w:space="0" w:color="auto"/>
              <w:bottom w:val="single" w:sz="4" w:space="0" w:color="auto"/>
              <w:right w:val="single" w:sz="4" w:space="0" w:color="auto"/>
            </w:tcBorders>
            <w:hideMark/>
          </w:tcPr>
          <w:tbl>
            <w:tblPr>
              <w:tblW w:w="12990" w:type="dxa"/>
              <w:shd w:val="clear" w:color="auto" w:fill="FFFFFF"/>
              <w:tblLayout w:type="fixed"/>
              <w:tblCellMar>
                <w:left w:w="0" w:type="dxa"/>
                <w:right w:w="0" w:type="dxa"/>
              </w:tblCellMar>
              <w:tblLook w:val="04A0" w:firstRow="1" w:lastRow="0" w:firstColumn="1" w:lastColumn="0" w:noHBand="0" w:noVBand="1"/>
            </w:tblPr>
            <w:tblGrid>
              <w:gridCol w:w="12574"/>
              <w:gridCol w:w="416"/>
            </w:tblGrid>
            <w:tr w:rsidR="005F4F9B" w14:paraId="0621AF72" w14:textId="77777777">
              <w:tc>
                <w:tcPr>
                  <w:tcW w:w="7867" w:type="dxa"/>
                  <w:shd w:val="clear" w:color="auto" w:fill="FFFFFF"/>
                  <w:tcMar>
                    <w:top w:w="180" w:type="dxa"/>
                    <w:left w:w="60" w:type="dxa"/>
                    <w:bottom w:w="0" w:type="dxa"/>
                    <w:right w:w="120" w:type="dxa"/>
                  </w:tcMar>
                  <w:hideMark/>
                </w:tcPr>
                <w:p w14:paraId="3681F3D9" w14:textId="77777777" w:rsidR="005F4F9B" w:rsidRDefault="005F4F9B">
                  <w:pPr>
                    <w:spacing w:after="0" w:line="240" w:lineRule="auto"/>
                    <w:rPr>
                      <w:rFonts w:ascii="Times New Roman" w:eastAsia="Times New Roman" w:hAnsi="Times New Roman" w:cs="Times New Roman"/>
                      <w:sz w:val="20"/>
                      <w:szCs w:val="20"/>
                      <w:lang w:eastAsia="en-IN"/>
                    </w:rPr>
                  </w:pPr>
                  <w:hyperlink r:id="rId22" w:history="1">
                    <w:r>
                      <w:rPr>
                        <w:rStyle w:val="Hyperlink"/>
                        <w:rFonts w:ascii="Times New Roman" w:eastAsia="Times New Roman" w:hAnsi="Times New Roman" w:cs="Times New Roman"/>
                        <w:sz w:val="24"/>
                        <w:szCs w:val="24"/>
                        <w:lang w:eastAsia="en-IN"/>
                      </w:rPr>
                      <w:t>Acute kidney injury in acute on chronic liver failure</w:t>
                    </w:r>
                  </w:hyperlink>
                </w:p>
                <w:p w14:paraId="3274A286" w14:textId="77777777" w:rsidR="005F4F9B" w:rsidRDefault="005F4F9B">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R Maiwall, SK Sarin, R Moreau</w:t>
                  </w:r>
                </w:p>
                <w:p w14:paraId="3F8BCE97" w14:textId="77777777" w:rsidR="005F4F9B" w:rsidRDefault="005F4F9B">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Hepatology international 10 (2), 245-257</w:t>
                  </w:r>
                </w:p>
              </w:tc>
              <w:tc>
                <w:tcPr>
                  <w:tcW w:w="243" w:type="dxa"/>
                  <w:shd w:val="clear" w:color="auto" w:fill="FFFFFF"/>
                  <w:tcMar>
                    <w:top w:w="180" w:type="dxa"/>
                    <w:left w:w="120" w:type="dxa"/>
                    <w:bottom w:w="0" w:type="dxa"/>
                    <w:right w:w="120" w:type="dxa"/>
                  </w:tcMar>
                  <w:hideMark/>
                </w:tcPr>
                <w:p w14:paraId="71813D83" w14:textId="77777777" w:rsidR="005F4F9B" w:rsidRDefault="005F4F9B">
                  <w:pPr>
                    <w:rPr>
                      <w:rFonts w:ascii="Times New Roman" w:eastAsia="Times New Roman" w:hAnsi="Times New Roman" w:cs="Times New Roman"/>
                      <w:sz w:val="20"/>
                      <w:szCs w:val="20"/>
                      <w:lang w:eastAsia="en-IN"/>
                    </w:rPr>
                  </w:pPr>
                </w:p>
              </w:tc>
            </w:tr>
            <w:tr w:rsidR="005F4F9B" w14:paraId="3BA54BCE" w14:textId="77777777">
              <w:tc>
                <w:tcPr>
                  <w:tcW w:w="7867" w:type="dxa"/>
                  <w:shd w:val="clear" w:color="auto" w:fill="FFFFFF"/>
                  <w:tcMar>
                    <w:top w:w="180" w:type="dxa"/>
                    <w:left w:w="60" w:type="dxa"/>
                    <w:bottom w:w="0" w:type="dxa"/>
                    <w:right w:w="120" w:type="dxa"/>
                  </w:tcMar>
                  <w:hideMark/>
                </w:tcPr>
                <w:tbl>
                  <w:tblPr>
                    <w:tblW w:w="12990" w:type="dxa"/>
                    <w:shd w:val="clear" w:color="auto" w:fill="FFFFFF"/>
                    <w:tblLayout w:type="fixed"/>
                    <w:tblCellMar>
                      <w:left w:w="0" w:type="dxa"/>
                      <w:right w:w="0" w:type="dxa"/>
                    </w:tblCellMar>
                    <w:tblLook w:val="04A0" w:firstRow="1" w:lastRow="0" w:firstColumn="1" w:lastColumn="0" w:noHBand="0" w:noVBand="1"/>
                  </w:tblPr>
                  <w:tblGrid>
                    <w:gridCol w:w="12550"/>
                    <w:gridCol w:w="440"/>
                  </w:tblGrid>
                  <w:tr w:rsidR="005F4F9B" w14:paraId="100010D4" w14:textId="77777777">
                    <w:tc>
                      <w:tcPr>
                        <w:tcW w:w="12550" w:type="dxa"/>
                        <w:shd w:val="clear" w:color="auto" w:fill="FFFFFF"/>
                        <w:tcMar>
                          <w:top w:w="180" w:type="dxa"/>
                          <w:left w:w="60" w:type="dxa"/>
                          <w:bottom w:w="0" w:type="dxa"/>
                          <w:right w:w="120" w:type="dxa"/>
                        </w:tcMar>
                        <w:hideMark/>
                      </w:tcPr>
                      <w:p w14:paraId="55546EC5" w14:textId="77777777" w:rsidR="005F4F9B" w:rsidRDefault="005F4F9B">
                        <w:pPr>
                          <w:spacing w:after="0" w:line="240" w:lineRule="auto"/>
                          <w:rPr>
                            <w:rFonts w:ascii="Times New Roman" w:eastAsia="Times New Roman" w:hAnsi="Times New Roman" w:cs="Times New Roman"/>
                            <w:sz w:val="20"/>
                            <w:szCs w:val="20"/>
                            <w:lang w:eastAsia="en-IN"/>
                          </w:rPr>
                        </w:pPr>
                        <w:hyperlink r:id="rId23" w:history="1">
                          <w:r>
                            <w:rPr>
                              <w:rStyle w:val="Hyperlink"/>
                              <w:rFonts w:ascii="Times New Roman" w:eastAsia="Times New Roman" w:hAnsi="Times New Roman" w:cs="Times New Roman"/>
                              <w:sz w:val="24"/>
                              <w:szCs w:val="24"/>
                              <w:lang w:eastAsia="en-IN"/>
                            </w:rPr>
                            <w:t>Incidence, risk factors, and outcomes of transition of acute kidney injury to chronic kidney disease in cirrhosis: a prospective cohort study</w:t>
                          </w:r>
                        </w:hyperlink>
                      </w:p>
                      <w:p w14:paraId="232A6AE9" w14:textId="77777777" w:rsidR="005F4F9B" w:rsidRDefault="005F4F9B">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R Maiwall, SSR Pasupuleti, C Bihari, A Rastogi, PK Singh, V Naik, ...</w:t>
                        </w:r>
                      </w:p>
                      <w:p w14:paraId="2D544357" w14:textId="77777777" w:rsidR="005F4F9B" w:rsidRDefault="005F4F9B">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Hepatology 71 (3), 1009-1022</w:t>
                        </w:r>
                      </w:p>
                    </w:tc>
                    <w:tc>
                      <w:tcPr>
                        <w:tcW w:w="440" w:type="dxa"/>
                        <w:shd w:val="clear" w:color="auto" w:fill="FFFFFF"/>
                        <w:tcMar>
                          <w:top w:w="180" w:type="dxa"/>
                          <w:left w:w="120" w:type="dxa"/>
                          <w:bottom w:w="0" w:type="dxa"/>
                          <w:right w:w="120" w:type="dxa"/>
                        </w:tcMar>
                        <w:hideMark/>
                      </w:tcPr>
                      <w:p w14:paraId="14A81A27" w14:textId="77777777" w:rsidR="005F4F9B" w:rsidRDefault="005F4F9B">
                        <w:pPr>
                          <w:spacing w:after="0" w:line="240" w:lineRule="auto"/>
                          <w:jc w:val="right"/>
                          <w:rPr>
                            <w:rFonts w:ascii="Times New Roman" w:eastAsia="Times New Roman" w:hAnsi="Times New Roman" w:cs="Times New Roman"/>
                            <w:sz w:val="20"/>
                            <w:szCs w:val="20"/>
                            <w:lang w:eastAsia="en-IN"/>
                          </w:rPr>
                        </w:pPr>
                        <w:hyperlink r:id="rId24" w:history="1">
                          <w:r>
                            <w:rPr>
                              <w:rStyle w:val="Hyperlink"/>
                              <w:rFonts w:ascii="Times New Roman" w:eastAsia="Times New Roman" w:hAnsi="Times New Roman" w:cs="Times New Roman"/>
                              <w:sz w:val="20"/>
                              <w:szCs w:val="20"/>
                              <w:lang w:eastAsia="en-IN"/>
                            </w:rPr>
                            <w:t>27</w:t>
                          </w:r>
                        </w:hyperlink>
                      </w:p>
                    </w:tc>
                  </w:tr>
                </w:tbl>
                <w:p w14:paraId="6D925381" w14:textId="77777777" w:rsidR="005F4F9B" w:rsidRDefault="005F4F9B">
                  <w:pPr>
                    <w:spacing w:after="0" w:line="240" w:lineRule="auto"/>
                    <w:rPr>
                      <w:rFonts w:ascii="Times New Roman" w:eastAsia="Times New Roman" w:hAnsi="Times New Roman" w:cs="Times New Roman"/>
                      <w:sz w:val="20"/>
                      <w:szCs w:val="20"/>
                      <w:lang w:eastAsia="en-IN"/>
                    </w:rPr>
                  </w:pPr>
                </w:p>
              </w:tc>
              <w:tc>
                <w:tcPr>
                  <w:tcW w:w="243" w:type="dxa"/>
                  <w:shd w:val="clear" w:color="auto" w:fill="FFFFFF"/>
                  <w:tcMar>
                    <w:top w:w="180" w:type="dxa"/>
                    <w:left w:w="120" w:type="dxa"/>
                    <w:bottom w:w="0" w:type="dxa"/>
                    <w:right w:w="120" w:type="dxa"/>
                  </w:tcMar>
                </w:tcPr>
                <w:p w14:paraId="219A6870" w14:textId="77777777" w:rsidR="005F4F9B" w:rsidRDefault="005F4F9B">
                  <w:pPr>
                    <w:spacing w:after="0" w:line="240" w:lineRule="auto"/>
                    <w:jc w:val="right"/>
                    <w:rPr>
                      <w:rFonts w:ascii="Times New Roman" w:eastAsia="Times New Roman" w:hAnsi="Times New Roman" w:cs="Times New Roman"/>
                      <w:sz w:val="20"/>
                      <w:szCs w:val="20"/>
                      <w:lang w:eastAsia="en-IN"/>
                    </w:rPr>
                  </w:pPr>
                </w:p>
              </w:tc>
            </w:tr>
            <w:tr w:rsidR="005F4F9B" w14:paraId="14AE551B" w14:textId="77777777">
              <w:tc>
                <w:tcPr>
                  <w:tcW w:w="7867" w:type="dxa"/>
                  <w:shd w:val="clear" w:color="auto" w:fill="FFFFFF"/>
                  <w:tcMar>
                    <w:top w:w="180" w:type="dxa"/>
                    <w:left w:w="60" w:type="dxa"/>
                    <w:bottom w:w="0" w:type="dxa"/>
                    <w:right w:w="120" w:type="dxa"/>
                  </w:tcMar>
                </w:tcPr>
                <w:p w14:paraId="4F5A03BD" w14:textId="77777777" w:rsidR="005F4F9B" w:rsidRDefault="005F4F9B">
                  <w:pPr>
                    <w:spacing w:after="0" w:line="240" w:lineRule="auto"/>
                    <w:rPr>
                      <w:rFonts w:ascii="Times New Roman" w:eastAsia="Times New Roman" w:hAnsi="Times New Roman" w:cs="Times New Roman"/>
                      <w:sz w:val="20"/>
                      <w:szCs w:val="20"/>
                      <w:lang w:eastAsia="en-IN"/>
                    </w:rPr>
                  </w:pPr>
                </w:p>
              </w:tc>
              <w:tc>
                <w:tcPr>
                  <w:tcW w:w="243" w:type="dxa"/>
                  <w:shd w:val="clear" w:color="auto" w:fill="FFFFFF"/>
                  <w:tcMar>
                    <w:top w:w="180" w:type="dxa"/>
                    <w:left w:w="120" w:type="dxa"/>
                    <w:bottom w:w="0" w:type="dxa"/>
                    <w:right w:w="120" w:type="dxa"/>
                  </w:tcMar>
                </w:tcPr>
                <w:p w14:paraId="4B4E44B3" w14:textId="77777777" w:rsidR="005F4F9B" w:rsidRDefault="005F4F9B">
                  <w:pPr>
                    <w:spacing w:after="0" w:line="240" w:lineRule="auto"/>
                    <w:jc w:val="right"/>
                    <w:rPr>
                      <w:rFonts w:ascii="Times New Roman" w:eastAsia="Times New Roman" w:hAnsi="Times New Roman" w:cs="Times New Roman"/>
                      <w:sz w:val="20"/>
                      <w:szCs w:val="20"/>
                      <w:lang w:eastAsia="en-IN"/>
                    </w:rPr>
                  </w:pPr>
                </w:p>
              </w:tc>
            </w:tr>
          </w:tbl>
          <w:p w14:paraId="7F03AA9F" w14:textId="77777777" w:rsidR="005F4F9B" w:rsidRDefault="005F4F9B">
            <w:pPr>
              <w:rPr>
                <w:rFonts w:ascii="Times New Roman" w:eastAsia="Times New Roman" w:hAnsi="Times New Roman" w:cs="Times New Roman"/>
                <w:sz w:val="20"/>
                <w:szCs w:val="20"/>
                <w:lang w:eastAsia="en-IN"/>
              </w:rPr>
            </w:pPr>
          </w:p>
        </w:tc>
        <w:tc>
          <w:tcPr>
            <w:tcW w:w="1418" w:type="dxa"/>
            <w:tcBorders>
              <w:top w:val="single" w:sz="4" w:space="0" w:color="auto"/>
              <w:left w:val="single" w:sz="4" w:space="0" w:color="auto"/>
              <w:bottom w:val="single" w:sz="4" w:space="0" w:color="auto"/>
              <w:right w:val="single" w:sz="4" w:space="0" w:color="auto"/>
            </w:tcBorders>
          </w:tcPr>
          <w:p w14:paraId="4AB59058" w14:textId="77777777" w:rsidR="005F4F9B" w:rsidRDefault="005F4F9B">
            <w:pPr>
              <w:jc w:val="center"/>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30</w:t>
            </w:r>
          </w:p>
          <w:p w14:paraId="326F601A" w14:textId="77777777" w:rsidR="005F4F9B" w:rsidRDefault="005F4F9B">
            <w:pPr>
              <w:jc w:val="center"/>
              <w:rPr>
                <w:rFonts w:ascii="Times New Roman" w:eastAsia="Times New Roman" w:hAnsi="Times New Roman" w:cs="Times New Roman"/>
                <w:sz w:val="20"/>
                <w:szCs w:val="20"/>
                <w:lang w:eastAsia="en-IN"/>
              </w:rPr>
            </w:pPr>
          </w:p>
          <w:p w14:paraId="75C6A101" w14:textId="77777777" w:rsidR="005F4F9B" w:rsidRDefault="005F4F9B">
            <w:pPr>
              <w:jc w:val="center"/>
              <w:rPr>
                <w:rFonts w:ascii="Times New Roman" w:eastAsia="Times New Roman" w:hAnsi="Times New Roman" w:cs="Times New Roman"/>
                <w:sz w:val="20"/>
                <w:szCs w:val="20"/>
                <w:lang w:eastAsia="en-IN"/>
              </w:rPr>
            </w:pPr>
          </w:p>
          <w:p w14:paraId="601BA237" w14:textId="77777777" w:rsidR="005F4F9B" w:rsidRDefault="005F4F9B">
            <w:pPr>
              <w:jc w:val="center"/>
              <w:rPr>
                <w:rFonts w:ascii="Times New Roman" w:eastAsia="Times New Roman" w:hAnsi="Times New Roman" w:cs="Times New Roman"/>
                <w:sz w:val="20"/>
                <w:szCs w:val="20"/>
                <w:lang w:eastAsia="en-IN"/>
              </w:rPr>
            </w:pPr>
          </w:p>
          <w:p w14:paraId="1F2B05C1" w14:textId="77777777" w:rsidR="005F4F9B" w:rsidRDefault="005F4F9B">
            <w:pPr>
              <w:jc w:val="center"/>
              <w:rPr>
                <w:rFonts w:ascii="Times New Roman" w:eastAsia="Times New Roman" w:hAnsi="Times New Roman" w:cs="Times New Roman"/>
                <w:sz w:val="20"/>
                <w:szCs w:val="20"/>
                <w:lang w:eastAsia="en-IN"/>
              </w:rPr>
            </w:pPr>
          </w:p>
          <w:p w14:paraId="5088748F" w14:textId="77777777" w:rsidR="005F4F9B" w:rsidRDefault="005F4F9B">
            <w:pPr>
              <w:jc w:val="center"/>
              <w:rPr>
                <w:rFonts w:ascii="Times New Roman" w:eastAsia="Times New Roman" w:hAnsi="Times New Roman" w:cs="Times New Roman"/>
                <w:sz w:val="20"/>
                <w:szCs w:val="20"/>
                <w:lang w:eastAsia="en-IN"/>
              </w:rPr>
            </w:pPr>
          </w:p>
          <w:p w14:paraId="1DEC7BAD" w14:textId="77777777" w:rsidR="005F4F9B" w:rsidRDefault="005F4F9B">
            <w:pPr>
              <w:jc w:val="center"/>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30</w:t>
            </w:r>
          </w:p>
        </w:tc>
      </w:tr>
    </w:tbl>
    <w:p w14:paraId="100F014D" w14:textId="77777777" w:rsidR="005F4F9B" w:rsidRDefault="005F4F9B" w:rsidP="005F4F9B">
      <w:pPr>
        <w:rPr>
          <w:rFonts w:ascii="Times New Roman" w:hAnsi="Times New Roman" w:cs="Times New Roman"/>
        </w:rPr>
      </w:pPr>
    </w:p>
    <w:p w14:paraId="78C836CE" w14:textId="77777777" w:rsidR="005F4F9B" w:rsidRPr="00F060FD" w:rsidRDefault="005F4F9B" w:rsidP="005F4F9B">
      <w:pPr>
        <w:spacing w:before="150" w:after="150" w:line="300" w:lineRule="atLeast"/>
        <w:ind w:left="720"/>
        <w:rPr>
          <w:rFonts w:ascii="open_sansregular" w:eastAsia="Times New Roman" w:hAnsi="open_sansregular" w:cs="Times New Roman"/>
          <w:color w:val="333333"/>
          <w:sz w:val="21"/>
          <w:szCs w:val="21"/>
          <w:lang w:eastAsia="en-IN"/>
        </w:rPr>
      </w:pPr>
    </w:p>
    <w:p w14:paraId="5083B0B7" w14:textId="77777777" w:rsidR="00656781" w:rsidRDefault="00656781"/>
    <w:sectPr w:rsidR="006567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_sansregular">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E0D87"/>
    <w:multiLevelType w:val="multilevel"/>
    <w:tmpl w:val="37201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0FD"/>
    <w:rsid w:val="005F4F9B"/>
    <w:rsid w:val="00656781"/>
    <w:rsid w:val="00D03E6D"/>
    <w:rsid w:val="00F060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17B54"/>
  <w15:chartTrackingRefBased/>
  <w15:docId w15:val="{CF7BD335-D177-4611-B22E-EFA2F2EE8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60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03E6D"/>
    <w:rPr>
      <w:b/>
      <w:bCs/>
    </w:rPr>
  </w:style>
  <w:style w:type="table" w:styleId="TableGrid">
    <w:name w:val="Table Grid"/>
    <w:basedOn w:val="TableNormal"/>
    <w:uiPriority w:val="39"/>
    <w:rsid w:val="005F4F9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F4F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871599">
      <w:bodyDiv w:val="1"/>
      <w:marLeft w:val="0"/>
      <w:marRight w:val="0"/>
      <w:marTop w:val="0"/>
      <w:marBottom w:val="0"/>
      <w:divBdr>
        <w:top w:val="none" w:sz="0" w:space="0" w:color="auto"/>
        <w:left w:val="none" w:sz="0" w:space="0" w:color="auto"/>
        <w:bottom w:val="none" w:sz="0" w:space="0" w:color="auto"/>
        <w:right w:val="none" w:sz="0" w:space="0" w:color="auto"/>
      </w:divBdr>
    </w:div>
    <w:div w:id="1433090894">
      <w:bodyDiv w:val="1"/>
      <w:marLeft w:val="0"/>
      <w:marRight w:val="0"/>
      <w:marTop w:val="0"/>
      <w:marBottom w:val="0"/>
      <w:divBdr>
        <w:top w:val="none" w:sz="0" w:space="0" w:color="auto"/>
        <w:left w:val="none" w:sz="0" w:space="0" w:color="auto"/>
        <w:bottom w:val="none" w:sz="0" w:space="0" w:color="auto"/>
        <w:right w:val="none" w:sz="0" w:space="0" w:color="auto"/>
      </w:divBdr>
    </w:div>
    <w:div w:id="2086760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in/scholar?oi=bibs&amp;hl=en&amp;cites=14802737672040797405" TargetMode="External"/><Relationship Id="rId13" Type="http://schemas.openxmlformats.org/officeDocument/2006/relationships/hyperlink" Target="https://scholar.google.co.in/scholar?oi=bibs&amp;hl=en&amp;cites=457837847082723644" TargetMode="External"/><Relationship Id="rId18" Type="http://schemas.openxmlformats.org/officeDocument/2006/relationships/hyperlink" Target="https://scholar.google.co.in/citations?view_op=view_citation&amp;hl=en&amp;user=VCCJxF8AAAAJ&amp;cstart=20&amp;pagesize=80&amp;citation_for_view=VCCJxF8AAAAJ:UeHWp8X0CEIC"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scholar.google.co.in/scholar?oi=bibs&amp;hl=en&amp;cites=16533640246953164948" TargetMode="External"/><Relationship Id="rId7" Type="http://schemas.openxmlformats.org/officeDocument/2006/relationships/hyperlink" Target="https://scholar.google.co.in/citations?view_op=view_citation&amp;hl=en&amp;user=VCCJxF8AAAAJ&amp;citation_for_view=VCCJxF8AAAAJ:PELIpwtuRlgC" TargetMode="External"/><Relationship Id="rId12" Type="http://schemas.openxmlformats.org/officeDocument/2006/relationships/hyperlink" Target="https://scholar.google.co.in/citations?view_op=view_citation&amp;hl=en&amp;user=VCCJxF8AAAAJ&amp;citation_for_view=VCCJxF8AAAAJ:geHnlv5EZngC" TargetMode="External"/><Relationship Id="rId17" Type="http://schemas.openxmlformats.org/officeDocument/2006/relationships/hyperlink" Target="https://scholar.google.co.in/scholar?oi=bibs&amp;hl=en&amp;cites=1164884985615840588"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cholar.google.co.in/citations?view_op=view_citation&amp;hl=en&amp;user=VCCJxF8AAAAJ&amp;cstart=20&amp;pagesize=80&amp;citation_for_view=VCCJxF8AAAAJ:_FxGoFyzp5QC" TargetMode="External"/><Relationship Id="rId20" Type="http://schemas.openxmlformats.org/officeDocument/2006/relationships/hyperlink" Target="https://scholar.google.co.in/citations?view_op=view_citation&amp;hl=en&amp;user=VCCJxF8AAAAJ&amp;cstart=20&amp;pagesize=80&amp;citation_for_view=VCCJxF8AAAAJ:8AbLer7MMksC" TargetMode="External"/><Relationship Id="rId1" Type="http://schemas.openxmlformats.org/officeDocument/2006/relationships/numbering" Target="numbering.xml"/><Relationship Id="rId6" Type="http://schemas.openxmlformats.org/officeDocument/2006/relationships/hyperlink" Target="https://scholar.google.co.in/scholar?oi=bibs&amp;hl=en&amp;cites=9367551726030798734" TargetMode="External"/><Relationship Id="rId11" Type="http://schemas.openxmlformats.org/officeDocument/2006/relationships/hyperlink" Target="https://scholar.google.co.in/citations?view_op=view_citation&amp;hl=en&amp;user=VCCJxF8AAAAJ&amp;citation_for_view=VCCJxF8AAAAJ:YsMSGLbcyi4C" TargetMode="External"/><Relationship Id="rId24" Type="http://schemas.openxmlformats.org/officeDocument/2006/relationships/hyperlink" Target="https://scholar.google.co.in/scholar?oi=bibs&amp;hl=en&amp;cites=9615225768450556245" TargetMode="External"/><Relationship Id="rId5" Type="http://schemas.openxmlformats.org/officeDocument/2006/relationships/hyperlink" Target="https://scholar.google.co.in/citations?view_op=view_citation&amp;hl=en&amp;user=VCCJxF8AAAAJ&amp;cstart=20&amp;pagesize=80&amp;citation_for_view=VCCJxF8AAAAJ:LkGwnXOMwfcC" TargetMode="External"/><Relationship Id="rId15" Type="http://schemas.openxmlformats.org/officeDocument/2006/relationships/hyperlink" Target="https://scholar.google.co.in/scholar?oi=bibs&amp;hl=en&amp;cites=2864771016534350344" TargetMode="External"/><Relationship Id="rId23" Type="http://schemas.openxmlformats.org/officeDocument/2006/relationships/hyperlink" Target="https://scholar.google.co.in/citations?view_op=view_citation&amp;hl=en&amp;user=VCCJxF8AAAAJ&amp;cstart=20&amp;pagesize=80&amp;citation_for_view=VCCJxF8AAAAJ:uJ-U7cs_P_0C" TargetMode="External"/><Relationship Id="rId10" Type="http://schemas.openxmlformats.org/officeDocument/2006/relationships/hyperlink" Target="https://scholar.google.co.in/scholar?oi=bibs&amp;hl=en&amp;cites=7194891454210931280" TargetMode="External"/><Relationship Id="rId19" Type="http://schemas.openxmlformats.org/officeDocument/2006/relationships/hyperlink" Target="https://scholar.google.co.in/scholar?oi=bibs&amp;hl=en&amp;cites=14891614225926815844" TargetMode="External"/><Relationship Id="rId4" Type="http://schemas.openxmlformats.org/officeDocument/2006/relationships/webSettings" Target="webSettings.xml"/><Relationship Id="rId9" Type="http://schemas.openxmlformats.org/officeDocument/2006/relationships/hyperlink" Target="https://scholar.google.co.in/citations?view_op=view_citation&amp;hl=en&amp;user=VCCJxF8AAAAJ&amp;citation_for_view=VCCJxF8AAAAJ:9yKSN-GCB0IC" TargetMode="External"/><Relationship Id="rId14" Type="http://schemas.openxmlformats.org/officeDocument/2006/relationships/hyperlink" Target="https://scholar.google.co.in/citations?view_op=view_citation&amp;hl=en&amp;user=VCCJxF8AAAAJ&amp;citation_for_view=VCCJxF8AAAAJ:uLbwQdceFCQC" TargetMode="External"/><Relationship Id="rId22" Type="http://schemas.openxmlformats.org/officeDocument/2006/relationships/hyperlink" Target="https://scholar.google.co.in/citations?view_op=view_citation&amp;hl=en&amp;user=VCCJxF8AAAAJ&amp;cstart=20&amp;pagesize=80&amp;citation_for_view=VCCJxF8AAAAJ:0EnyYjriUFM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1009</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 maiwall</dc:creator>
  <cp:keywords/>
  <dc:description/>
  <cp:lastModifiedBy>rakhi maiwall</cp:lastModifiedBy>
  <cp:revision>1</cp:revision>
  <dcterms:created xsi:type="dcterms:W3CDTF">2021-10-31T12:00:00Z</dcterms:created>
  <dcterms:modified xsi:type="dcterms:W3CDTF">2021-10-31T12:13:00Z</dcterms:modified>
</cp:coreProperties>
</file>