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105" w:rsidRPr="00215542" w:rsidRDefault="00916105" w:rsidP="00215542">
      <w:pPr>
        <w:spacing w:line="360" w:lineRule="auto"/>
        <w:ind w:right="-59"/>
        <w:jc w:val="center"/>
        <w:rPr>
          <w:b/>
          <w:bCs/>
          <w:color w:val="000000"/>
        </w:rPr>
      </w:pPr>
      <w:r w:rsidRPr="00215542">
        <w:rPr>
          <w:b/>
          <w:bCs/>
          <w:color w:val="000000"/>
        </w:rPr>
        <w:t>STUDY PROTOCOL</w:t>
      </w:r>
    </w:p>
    <w:p w:rsidR="00916105" w:rsidRPr="00215542" w:rsidRDefault="00916105" w:rsidP="00916105">
      <w:pPr>
        <w:spacing w:line="360" w:lineRule="auto"/>
        <w:ind w:right="-59"/>
        <w:rPr>
          <w:b/>
          <w:bCs/>
          <w:color w:val="000000"/>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5"/>
        <w:gridCol w:w="4811"/>
      </w:tblGrid>
      <w:tr w:rsidR="00916105" w:rsidRPr="00215542" w:rsidTr="00AD52D9">
        <w:tc>
          <w:tcPr>
            <w:tcW w:w="4115" w:type="dxa"/>
          </w:tcPr>
          <w:p w:rsidR="00916105" w:rsidRPr="00215542" w:rsidRDefault="00916105" w:rsidP="00AD52D9">
            <w:pPr>
              <w:spacing w:line="360" w:lineRule="auto"/>
              <w:ind w:right="-59"/>
              <w:rPr>
                <w:bCs/>
              </w:rPr>
            </w:pPr>
            <w:r w:rsidRPr="00215542">
              <w:rPr>
                <w:bCs/>
              </w:rPr>
              <w:t xml:space="preserve">TITLE </w:t>
            </w:r>
          </w:p>
          <w:p w:rsidR="00916105" w:rsidRPr="00215542" w:rsidRDefault="00916105" w:rsidP="00AD52D9">
            <w:pPr>
              <w:spacing w:line="360" w:lineRule="auto"/>
              <w:ind w:right="-59"/>
              <w:rPr>
                <w:bCs/>
                <w:color w:val="000000"/>
              </w:rPr>
            </w:pPr>
          </w:p>
        </w:tc>
        <w:tc>
          <w:tcPr>
            <w:tcW w:w="4811" w:type="dxa"/>
          </w:tcPr>
          <w:p w:rsidR="00916105" w:rsidRPr="00215542" w:rsidRDefault="00916105" w:rsidP="00AD52D9">
            <w:pPr>
              <w:pStyle w:val="Body"/>
              <w:jc w:val="left"/>
              <w:rPr>
                <w:rFonts w:cs="Times New Roman"/>
                <w:b/>
                <w:sz w:val="22"/>
                <w:szCs w:val="22"/>
              </w:rPr>
            </w:pPr>
            <w:r w:rsidRPr="00215542">
              <w:rPr>
                <w:rFonts w:eastAsia="Times New Roman" w:cs="Times New Roman"/>
                <w:b/>
                <w:bCs/>
                <w:color w:val="auto"/>
                <w:sz w:val="22"/>
                <w:szCs w:val="22"/>
                <w:bdr w:val="none" w:sz="0" w:space="0" w:color="auto"/>
                <w:lang w:eastAsia="en-US"/>
              </w:rPr>
              <w:t>STUDY OF THE SEQUELAE OF SEVERE ACUTE RESPIRATORY SYNDROME (SARS) CORONAVIRUS-2 (SARS-COV-2) DISEASE-2019 (COVID-19) IN SURVIVORS AT 3 YEARS</w:t>
            </w:r>
          </w:p>
        </w:tc>
      </w:tr>
      <w:tr w:rsidR="00916105" w:rsidRPr="00215542" w:rsidTr="009A7D68">
        <w:trPr>
          <w:trHeight w:val="1968"/>
        </w:trPr>
        <w:tc>
          <w:tcPr>
            <w:tcW w:w="4115" w:type="dxa"/>
          </w:tcPr>
          <w:p w:rsidR="00916105" w:rsidRPr="00215542" w:rsidRDefault="00916105" w:rsidP="00493511">
            <w:pPr>
              <w:spacing w:line="360" w:lineRule="auto"/>
              <w:ind w:right="-59"/>
              <w:rPr>
                <w:bCs/>
                <w:color w:val="000000"/>
              </w:rPr>
            </w:pPr>
            <w:r w:rsidRPr="00215542">
              <w:rPr>
                <w:bCs/>
              </w:rPr>
              <w:t xml:space="preserve">FULL NAME OF THE </w:t>
            </w:r>
            <w:r w:rsidR="00493511">
              <w:rPr>
                <w:bCs/>
              </w:rPr>
              <w:t>APPLICANT</w:t>
            </w:r>
          </w:p>
        </w:tc>
        <w:tc>
          <w:tcPr>
            <w:tcW w:w="4811" w:type="dxa"/>
          </w:tcPr>
          <w:p w:rsidR="00493511" w:rsidRDefault="00493511" w:rsidP="00215542">
            <w:pPr>
              <w:pStyle w:val="Body"/>
              <w:spacing w:after="0" w:line="240" w:lineRule="auto"/>
              <w:jc w:val="left"/>
              <w:rPr>
                <w:rFonts w:cs="Times New Roman"/>
                <w:b/>
                <w:bCs/>
                <w:sz w:val="22"/>
                <w:szCs w:val="22"/>
              </w:rPr>
            </w:pPr>
            <w:proofErr w:type="spellStart"/>
            <w:r>
              <w:rPr>
                <w:rFonts w:cs="Times New Roman"/>
                <w:b/>
                <w:bCs/>
                <w:sz w:val="22"/>
                <w:szCs w:val="22"/>
              </w:rPr>
              <w:t>Dr</w:t>
            </w:r>
            <w:proofErr w:type="spellEnd"/>
            <w:r>
              <w:rPr>
                <w:rFonts w:cs="Times New Roman"/>
                <w:b/>
                <w:bCs/>
                <w:sz w:val="22"/>
                <w:szCs w:val="22"/>
              </w:rPr>
              <w:t xml:space="preserve"> M.C.R. RAMA</w:t>
            </w:r>
          </w:p>
          <w:p w:rsidR="00493511" w:rsidRPr="00215542" w:rsidRDefault="00493511" w:rsidP="00215542">
            <w:pPr>
              <w:pStyle w:val="Body"/>
              <w:spacing w:after="0" w:line="240" w:lineRule="auto"/>
              <w:jc w:val="left"/>
              <w:rPr>
                <w:rFonts w:cs="Times New Roman"/>
                <w:bCs/>
                <w:sz w:val="22"/>
                <w:szCs w:val="22"/>
              </w:rPr>
            </w:pPr>
            <w:r w:rsidRPr="00215542">
              <w:rPr>
                <w:rFonts w:cs="Times New Roman"/>
                <w:bCs/>
                <w:sz w:val="22"/>
                <w:szCs w:val="22"/>
              </w:rPr>
              <w:t>Assistant Professor</w:t>
            </w:r>
          </w:p>
          <w:p w:rsidR="00493511" w:rsidRPr="00AD52D9" w:rsidRDefault="00493511" w:rsidP="00493511">
            <w:r w:rsidRPr="00AD52D9">
              <w:t>Department of Medicine</w:t>
            </w:r>
          </w:p>
          <w:p w:rsidR="00493511" w:rsidRPr="00AD52D9" w:rsidRDefault="00493511" w:rsidP="00215542">
            <w:r w:rsidRPr="00AD52D9">
              <w:t xml:space="preserve">Sri </w:t>
            </w:r>
            <w:proofErr w:type="spellStart"/>
            <w:r w:rsidRPr="00AD52D9">
              <w:t>Venkateswara</w:t>
            </w:r>
            <w:proofErr w:type="spellEnd"/>
            <w:r w:rsidRPr="00AD52D9">
              <w:t xml:space="preserve"> Institute of Medical Sciences (SVIMS)</w:t>
            </w:r>
          </w:p>
          <w:p w:rsidR="00493511" w:rsidRPr="00AD52D9" w:rsidRDefault="00493511" w:rsidP="00215542">
            <w:proofErr w:type="spellStart"/>
            <w:r w:rsidRPr="00AD52D9">
              <w:t>Tirupati</w:t>
            </w:r>
            <w:proofErr w:type="spellEnd"/>
            <w:r w:rsidRPr="00AD52D9">
              <w:t xml:space="preserve"> 517507</w:t>
            </w:r>
          </w:p>
          <w:p w:rsidR="00916105" w:rsidRPr="00215542" w:rsidRDefault="00493511" w:rsidP="00215542">
            <w:pPr>
              <w:pStyle w:val="Body"/>
              <w:spacing w:after="0" w:line="240" w:lineRule="auto"/>
              <w:jc w:val="left"/>
              <w:rPr>
                <w:rFonts w:cs="Times New Roman"/>
                <w:b/>
                <w:bCs/>
                <w:sz w:val="22"/>
                <w:szCs w:val="22"/>
              </w:rPr>
            </w:pPr>
            <w:r w:rsidRPr="00AD52D9">
              <w:rPr>
                <w:sz w:val="22"/>
                <w:szCs w:val="22"/>
              </w:rPr>
              <w:t>Andhra Pradesh</w:t>
            </w:r>
          </w:p>
        </w:tc>
      </w:tr>
      <w:tr w:rsidR="00916105" w:rsidRPr="00215542" w:rsidTr="00AD52D9">
        <w:tc>
          <w:tcPr>
            <w:tcW w:w="4115" w:type="dxa"/>
          </w:tcPr>
          <w:p w:rsidR="00916105" w:rsidRPr="00215542" w:rsidRDefault="00916105" w:rsidP="00AD52D9">
            <w:pPr>
              <w:spacing w:line="360" w:lineRule="auto"/>
              <w:ind w:right="-59"/>
            </w:pPr>
            <w:bookmarkStart w:id="0" w:name="_GoBack"/>
            <w:bookmarkEnd w:id="0"/>
            <w:r w:rsidRPr="00215542">
              <w:t>FELLOWSHIP APPLIED FOR</w:t>
            </w:r>
          </w:p>
        </w:tc>
        <w:tc>
          <w:tcPr>
            <w:tcW w:w="4811" w:type="dxa"/>
          </w:tcPr>
          <w:p w:rsidR="00916105" w:rsidRPr="00215542" w:rsidRDefault="005A3A79" w:rsidP="00AD52D9">
            <w:pPr>
              <w:pStyle w:val="Body"/>
              <w:jc w:val="left"/>
              <w:rPr>
                <w:rFonts w:cs="Times New Roman"/>
                <w:bCs/>
                <w:sz w:val="22"/>
                <w:szCs w:val="22"/>
              </w:rPr>
            </w:pPr>
            <w:proofErr w:type="spellStart"/>
            <w:r>
              <w:rPr>
                <w:rFonts w:cs="Times New Roman"/>
                <w:bCs/>
                <w:sz w:val="22"/>
                <w:szCs w:val="22"/>
              </w:rPr>
              <w:t>Sunpharma</w:t>
            </w:r>
            <w:proofErr w:type="spellEnd"/>
            <w:r>
              <w:rPr>
                <w:rFonts w:cs="Times New Roman"/>
                <w:bCs/>
                <w:sz w:val="22"/>
                <w:szCs w:val="22"/>
              </w:rPr>
              <w:t xml:space="preserve"> science foundation clinical research fellowship 2024</w:t>
            </w:r>
          </w:p>
          <w:p w:rsidR="00916105" w:rsidRPr="00215542" w:rsidRDefault="00916105" w:rsidP="00AD52D9">
            <w:pPr>
              <w:pStyle w:val="Body"/>
              <w:jc w:val="left"/>
              <w:rPr>
                <w:rFonts w:cs="Times New Roman"/>
                <w:bCs/>
                <w:sz w:val="22"/>
                <w:szCs w:val="22"/>
              </w:rPr>
            </w:pPr>
          </w:p>
        </w:tc>
      </w:tr>
      <w:tr w:rsidR="00916105" w:rsidRPr="00215542" w:rsidTr="00AD52D9">
        <w:tc>
          <w:tcPr>
            <w:tcW w:w="4115" w:type="dxa"/>
          </w:tcPr>
          <w:p w:rsidR="00916105" w:rsidRPr="00215542" w:rsidRDefault="00916105" w:rsidP="00AD52D9">
            <w:pPr>
              <w:spacing w:line="360" w:lineRule="auto"/>
              <w:ind w:right="-59"/>
            </w:pPr>
            <w:r w:rsidRPr="00215542">
              <w:t>YEAR OF  APPLYING</w:t>
            </w:r>
          </w:p>
        </w:tc>
        <w:tc>
          <w:tcPr>
            <w:tcW w:w="4811" w:type="dxa"/>
          </w:tcPr>
          <w:p w:rsidR="00916105" w:rsidRPr="00215542" w:rsidRDefault="00916105" w:rsidP="00AD52D9">
            <w:pPr>
              <w:pStyle w:val="Body"/>
              <w:jc w:val="left"/>
              <w:rPr>
                <w:rFonts w:cs="Times New Roman"/>
                <w:bCs/>
                <w:sz w:val="22"/>
                <w:szCs w:val="22"/>
              </w:rPr>
            </w:pPr>
            <w:r w:rsidRPr="00215542">
              <w:rPr>
                <w:rFonts w:cs="Times New Roman"/>
                <w:bCs/>
                <w:sz w:val="22"/>
                <w:szCs w:val="22"/>
              </w:rPr>
              <w:t>2024</w:t>
            </w:r>
          </w:p>
          <w:p w:rsidR="00916105" w:rsidRPr="00215542" w:rsidRDefault="00916105" w:rsidP="00AD52D9">
            <w:pPr>
              <w:pStyle w:val="Body"/>
              <w:jc w:val="left"/>
              <w:rPr>
                <w:rFonts w:cs="Times New Roman"/>
                <w:bCs/>
                <w:sz w:val="22"/>
                <w:szCs w:val="22"/>
              </w:rPr>
            </w:pPr>
          </w:p>
        </w:tc>
      </w:tr>
      <w:tr w:rsidR="00916105" w:rsidRPr="00215542" w:rsidTr="00AD52D9">
        <w:tc>
          <w:tcPr>
            <w:tcW w:w="4115" w:type="dxa"/>
          </w:tcPr>
          <w:p w:rsidR="00916105" w:rsidRPr="00215542" w:rsidRDefault="00916105" w:rsidP="00AD52D9">
            <w:pPr>
              <w:spacing w:line="360" w:lineRule="auto"/>
            </w:pPr>
            <w:r w:rsidRPr="00215542">
              <w:t>SUPERVISOR</w:t>
            </w:r>
          </w:p>
          <w:p w:rsidR="00916105" w:rsidRPr="00493511" w:rsidRDefault="00916105" w:rsidP="00AD52D9">
            <w:pPr>
              <w:spacing w:line="360" w:lineRule="auto"/>
              <w:ind w:right="-59"/>
              <w:jc w:val="center"/>
              <w:rPr>
                <w:bCs/>
              </w:rPr>
            </w:pPr>
          </w:p>
        </w:tc>
        <w:tc>
          <w:tcPr>
            <w:tcW w:w="4811" w:type="dxa"/>
          </w:tcPr>
          <w:p w:rsidR="00916105" w:rsidRPr="00215542" w:rsidRDefault="00916105" w:rsidP="00AD52D9">
            <w:pPr>
              <w:rPr>
                <w:b/>
              </w:rPr>
            </w:pPr>
            <w:r w:rsidRPr="00215542">
              <w:rPr>
                <w:b/>
              </w:rPr>
              <w:t>Dr. ALLADI MOHAN</w:t>
            </w:r>
          </w:p>
          <w:p w:rsidR="00916105" w:rsidRPr="00215542" w:rsidRDefault="00916105" w:rsidP="00AD52D9">
            <w:r w:rsidRPr="00215542">
              <w:t>Dean of Faculty SVIMS University</w:t>
            </w:r>
          </w:p>
          <w:p w:rsidR="00916105" w:rsidRPr="00215542" w:rsidRDefault="00916105" w:rsidP="00AD52D9">
            <w:r w:rsidRPr="00215542">
              <w:t>Professor (Senior Grade)  and Head</w:t>
            </w:r>
          </w:p>
          <w:p w:rsidR="00916105" w:rsidRPr="00215542" w:rsidRDefault="00916105" w:rsidP="00AD52D9">
            <w:r w:rsidRPr="00215542">
              <w:t>Department of Medicine</w:t>
            </w:r>
          </w:p>
          <w:p w:rsidR="00916105" w:rsidRPr="00215542" w:rsidRDefault="00916105" w:rsidP="00AD52D9">
            <w:r w:rsidRPr="00215542">
              <w:t xml:space="preserve">Sri </w:t>
            </w:r>
            <w:proofErr w:type="spellStart"/>
            <w:r w:rsidRPr="00215542">
              <w:t>Venkateswara</w:t>
            </w:r>
            <w:proofErr w:type="spellEnd"/>
            <w:r w:rsidRPr="00215542">
              <w:t xml:space="preserve"> Institute of Medical Sciences (SVIMS)</w:t>
            </w:r>
          </w:p>
          <w:p w:rsidR="00916105" w:rsidRPr="00215542" w:rsidRDefault="00916105" w:rsidP="00AD52D9">
            <w:r w:rsidRPr="00215542">
              <w:t>(A University established by an Act of AP State Legislature)</w:t>
            </w:r>
          </w:p>
          <w:p w:rsidR="00916105" w:rsidRPr="00215542" w:rsidRDefault="00916105" w:rsidP="00AD52D9">
            <w:proofErr w:type="spellStart"/>
            <w:r w:rsidRPr="00215542">
              <w:t>Tirupati</w:t>
            </w:r>
            <w:proofErr w:type="spellEnd"/>
            <w:r w:rsidRPr="00215542">
              <w:t xml:space="preserve"> 517507</w:t>
            </w:r>
          </w:p>
          <w:p w:rsidR="00916105" w:rsidRPr="00215542" w:rsidRDefault="00916105" w:rsidP="00AD52D9">
            <w:r w:rsidRPr="00215542">
              <w:t>Andhra Pradesh</w:t>
            </w:r>
          </w:p>
        </w:tc>
      </w:tr>
    </w:tbl>
    <w:p w:rsidR="00916105" w:rsidRPr="00215542" w:rsidRDefault="00916105" w:rsidP="00916105">
      <w:pPr>
        <w:ind w:right="970"/>
      </w:pPr>
    </w:p>
    <w:p w:rsidR="00916105" w:rsidRPr="00215542" w:rsidRDefault="00916105">
      <w:pPr>
        <w:widowControl/>
        <w:autoSpaceDE/>
        <w:autoSpaceDN/>
        <w:spacing w:after="160" w:line="259" w:lineRule="auto"/>
      </w:pPr>
      <w:r w:rsidRPr="00215542">
        <w:br w:type="page"/>
      </w:r>
    </w:p>
    <w:p w:rsidR="00916105" w:rsidRPr="00215542" w:rsidRDefault="00916105" w:rsidP="00916105">
      <w:pPr>
        <w:spacing w:line="360" w:lineRule="auto"/>
        <w:ind w:right="965"/>
        <w:jc w:val="both"/>
        <w:rPr>
          <w:b/>
          <w:sz w:val="20"/>
          <w:szCs w:val="20"/>
        </w:rPr>
      </w:pPr>
      <w:r w:rsidRPr="00215542">
        <w:rPr>
          <w:b/>
          <w:sz w:val="20"/>
          <w:szCs w:val="20"/>
        </w:rPr>
        <w:lastRenderedPageBreak/>
        <w:t>INTRODUCTION</w:t>
      </w:r>
    </w:p>
    <w:p w:rsidR="00916105" w:rsidRPr="00215542" w:rsidRDefault="00916105" w:rsidP="00916105">
      <w:pPr>
        <w:spacing w:line="360" w:lineRule="auto"/>
        <w:ind w:right="965"/>
        <w:jc w:val="both"/>
        <w:rPr>
          <w:sz w:val="20"/>
          <w:szCs w:val="20"/>
        </w:rPr>
      </w:pPr>
      <w:r w:rsidRPr="00215542">
        <w:rPr>
          <w:sz w:val="20"/>
          <w:szCs w:val="20"/>
        </w:rPr>
        <w:t>After the acute phase of a severe acute respiratory syndrome coronavirus-2  (SARS-CoV-2)  disease (COVID-19), a significant proportion manifest persistent somatic symptoms over weeks, months and even years (</w:t>
      </w:r>
      <w:r w:rsidR="00493511">
        <w:rPr>
          <w:sz w:val="20"/>
          <w:szCs w:val="20"/>
        </w:rPr>
        <w:t>1</w:t>
      </w:r>
      <w:r w:rsidRPr="00215542">
        <w:rPr>
          <w:sz w:val="20"/>
          <w:szCs w:val="20"/>
        </w:rPr>
        <w:t xml:space="preserve">), This condition called “long COVID” has  also been referred to as “post-acute </w:t>
      </w:r>
      <w:proofErr w:type="spellStart"/>
      <w:r w:rsidRPr="00215542">
        <w:rPr>
          <w:sz w:val="20"/>
          <w:szCs w:val="20"/>
        </w:rPr>
        <w:t>sequelae</w:t>
      </w:r>
      <w:proofErr w:type="spellEnd"/>
      <w:r w:rsidRPr="00215542">
        <w:rPr>
          <w:sz w:val="20"/>
          <w:szCs w:val="20"/>
        </w:rPr>
        <w:t xml:space="preserve"> of COVID-19”, “post-COVID-19 syndrome”, “post-COVID conditions” or post-acute COVID-19 syndrome, among others. One of the characteristic features of long COVID-19 is that it affects survivors of COVID-19 at all disease severity.   </w:t>
      </w:r>
      <w:proofErr w:type="gramStart"/>
      <w:r w:rsidRPr="00215542">
        <w:rPr>
          <w:sz w:val="20"/>
          <w:szCs w:val="20"/>
        </w:rPr>
        <w:t>Data  from</w:t>
      </w:r>
      <w:proofErr w:type="gramEnd"/>
      <w:r w:rsidRPr="00215542">
        <w:rPr>
          <w:sz w:val="20"/>
          <w:szCs w:val="20"/>
        </w:rPr>
        <w:t xml:space="preserve"> all over the world show that around a third of people infected by SARS-CoV-2 may go on to develop symptoms that can be diagnosed as long COVID.  As there are sparse published data regarding the long-term effects of COVID-19 at 3 years in survivors, the present study is planned. </w:t>
      </w:r>
    </w:p>
    <w:p w:rsidR="00916105" w:rsidRPr="00215542" w:rsidRDefault="00916105" w:rsidP="00916105">
      <w:pPr>
        <w:spacing w:line="360" w:lineRule="auto"/>
        <w:ind w:right="965"/>
        <w:jc w:val="both"/>
        <w:rPr>
          <w:b/>
          <w:sz w:val="20"/>
          <w:szCs w:val="20"/>
        </w:rPr>
      </w:pPr>
      <w:r w:rsidRPr="00215542">
        <w:rPr>
          <w:b/>
          <w:sz w:val="20"/>
          <w:szCs w:val="20"/>
        </w:rPr>
        <w:t>AIM AND OBJECTIVES</w:t>
      </w:r>
    </w:p>
    <w:p w:rsidR="00916105" w:rsidRPr="00215542" w:rsidRDefault="00916105" w:rsidP="00916105">
      <w:pPr>
        <w:spacing w:line="360" w:lineRule="auto"/>
        <w:ind w:right="965"/>
        <w:jc w:val="both"/>
        <w:rPr>
          <w:b/>
          <w:sz w:val="20"/>
          <w:szCs w:val="20"/>
        </w:rPr>
      </w:pPr>
      <w:r w:rsidRPr="00215542">
        <w:rPr>
          <w:b/>
          <w:sz w:val="20"/>
          <w:szCs w:val="20"/>
        </w:rPr>
        <w:t xml:space="preserve">Aim </w:t>
      </w:r>
    </w:p>
    <w:p w:rsidR="00916105" w:rsidRPr="00215542" w:rsidRDefault="00916105" w:rsidP="00916105">
      <w:pPr>
        <w:spacing w:line="360" w:lineRule="auto"/>
        <w:ind w:right="965"/>
        <w:jc w:val="both"/>
        <w:rPr>
          <w:sz w:val="20"/>
          <w:szCs w:val="20"/>
        </w:rPr>
      </w:pPr>
      <w:r w:rsidRPr="00215542">
        <w:rPr>
          <w:sz w:val="20"/>
          <w:szCs w:val="20"/>
        </w:rPr>
        <w:t xml:space="preserve">To study the long-term </w:t>
      </w:r>
      <w:proofErr w:type="spellStart"/>
      <w:r w:rsidRPr="00215542">
        <w:rPr>
          <w:sz w:val="20"/>
          <w:szCs w:val="20"/>
        </w:rPr>
        <w:t>sequelae</w:t>
      </w:r>
      <w:proofErr w:type="spellEnd"/>
      <w:r w:rsidRPr="00215542">
        <w:rPr>
          <w:sz w:val="20"/>
          <w:szCs w:val="20"/>
        </w:rPr>
        <w:t xml:space="preserve"> of COVID-19 in the patients who had tested positive for COVID-19  </w:t>
      </w:r>
    </w:p>
    <w:p w:rsidR="00916105" w:rsidRPr="00215542" w:rsidRDefault="00916105" w:rsidP="00916105">
      <w:pPr>
        <w:spacing w:line="360" w:lineRule="auto"/>
        <w:ind w:right="965"/>
        <w:jc w:val="both"/>
        <w:rPr>
          <w:b/>
          <w:sz w:val="20"/>
          <w:szCs w:val="20"/>
        </w:rPr>
      </w:pPr>
      <w:r w:rsidRPr="00215542">
        <w:rPr>
          <w:b/>
          <w:sz w:val="20"/>
          <w:szCs w:val="20"/>
        </w:rPr>
        <w:t xml:space="preserve">Objectives </w:t>
      </w:r>
    </w:p>
    <w:p w:rsidR="00916105" w:rsidRPr="00215542" w:rsidRDefault="00916105" w:rsidP="00916105">
      <w:pPr>
        <w:spacing w:line="360" w:lineRule="auto"/>
        <w:ind w:right="965"/>
        <w:jc w:val="both"/>
        <w:rPr>
          <w:sz w:val="20"/>
          <w:szCs w:val="20"/>
        </w:rPr>
      </w:pPr>
      <w:r w:rsidRPr="00215542">
        <w:rPr>
          <w:sz w:val="20"/>
          <w:szCs w:val="20"/>
        </w:rPr>
        <w:t>(i) To observe and document the long-term complications occurring in hospitalized and non-</w:t>
      </w:r>
      <w:proofErr w:type="spellStart"/>
      <w:r w:rsidRPr="00215542">
        <w:rPr>
          <w:sz w:val="20"/>
          <w:szCs w:val="20"/>
        </w:rPr>
        <w:t>hospitalised</w:t>
      </w:r>
      <w:proofErr w:type="spellEnd"/>
      <w:r w:rsidRPr="00215542">
        <w:rPr>
          <w:sz w:val="20"/>
          <w:szCs w:val="20"/>
        </w:rPr>
        <w:t xml:space="preserve"> COVID-19 survivors at 3 years;  (ii) To observe and document the long-term clinical and radiographic changes in hospitalized and non-hospitalized COVID-19 survivors at 3 years.</w:t>
      </w:r>
    </w:p>
    <w:p w:rsidR="00916105" w:rsidRPr="00215542" w:rsidRDefault="00916105" w:rsidP="00916105">
      <w:pPr>
        <w:spacing w:line="360" w:lineRule="auto"/>
        <w:ind w:right="965"/>
        <w:jc w:val="both"/>
        <w:rPr>
          <w:b/>
          <w:sz w:val="20"/>
          <w:szCs w:val="20"/>
        </w:rPr>
      </w:pPr>
      <w:r w:rsidRPr="00215542">
        <w:rPr>
          <w:b/>
          <w:sz w:val="20"/>
          <w:szCs w:val="20"/>
        </w:rPr>
        <w:t>MATERIAL AND METHODS</w:t>
      </w:r>
    </w:p>
    <w:p w:rsidR="00916105" w:rsidRPr="00215542" w:rsidRDefault="00916105" w:rsidP="00916105">
      <w:pPr>
        <w:spacing w:line="360" w:lineRule="auto"/>
        <w:ind w:right="965"/>
        <w:jc w:val="both"/>
        <w:rPr>
          <w:b/>
          <w:sz w:val="20"/>
          <w:szCs w:val="20"/>
        </w:rPr>
      </w:pPr>
      <w:r w:rsidRPr="00215542">
        <w:rPr>
          <w:sz w:val="20"/>
          <w:szCs w:val="20"/>
        </w:rPr>
        <w:t>Patients (aged 18 years and above) who had tested positive for COVID-19 either by real time reverse transcriptase – polymerase chain reaction (</w:t>
      </w:r>
      <w:proofErr w:type="spellStart"/>
      <w:r w:rsidRPr="00215542">
        <w:rPr>
          <w:sz w:val="20"/>
          <w:szCs w:val="20"/>
        </w:rPr>
        <w:t>rtRT</w:t>
      </w:r>
      <w:proofErr w:type="spellEnd"/>
      <w:r w:rsidRPr="00215542">
        <w:rPr>
          <w:sz w:val="20"/>
          <w:szCs w:val="20"/>
        </w:rPr>
        <w:t xml:space="preserve">-PCR) / rapid antigen test (RAT)/ </w:t>
      </w:r>
      <w:proofErr w:type="spellStart"/>
      <w:r w:rsidRPr="00215542">
        <w:rPr>
          <w:sz w:val="20"/>
          <w:szCs w:val="20"/>
        </w:rPr>
        <w:t>TrueNat</w:t>
      </w:r>
      <w:proofErr w:type="spellEnd"/>
      <w:r w:rsidRPr="00215542">
        <w:rPr>
          <w:sz w:val="20"/>
          <w:szCs w:val="20"/>
        </w:rPr>
        <w:t xml:space="preserve"> test and recovered will be screened for inclusion in the study over a period of  6  months. </w:t>
      </w:r>
      <w:r w:rsidRPr="00215542">
        <w:rPr>
          <w:b/>
          <w:sz w:val="20"/>
          <w:szCs w:val="20"/>
        </w:rPr>
        <w:t xml:space="preserve">Inclusion criteria </w:t>
      </w:r>
    </w:p>
    <w:p w:rsidR="00916105" w:rsidRPr="00215542" w:rsidRDefault="00916105" w:rsidP="00916105">
      <w:pPr>
        <w:spacing w:line="360" w:lineRule="auto"/>
        <w:ind w:right="965"/>
        <w:jc w:val="both"/>
        <w:rPr>
          <w:sz w:val="20"/>
          <w:szCs w:val="20"/>
        </w:rPr>
      </w:pPr>
      <w:r w:rsidRPr="00215542">
        <w:rPr>
          <w:sz w:val="20"/>
          <w:szCs w:val="20"/>
        </w:rPr>
        <w:t xml:space="preserve">(i) Adult patients (aged 18 years and above) who tested positive by </w:t>
      </w:r>
      <w:proofErr w:type="spellStart"/>
      <w:r w:rsidRPr="00215542">
        <w:rPr>
          <w:sz w:val="20"/>
          <w:szCs w:val="20"/>
        </w:rPr>
        <w:t>rtRT</w:t>
      </w:r>
      <w:proofErr w:type="spellEnd"/>
      <w:r w:rsidRPr="00215542">
        <w:rPr>
          <w:sz w:val="20"/>
          <w:szCs w:val="20"/>
        </w:rPr>
        <w:t xml:space="preserve">-PCR/ RAT/ </w:t>
      </w:r>
      <w:proofErr w:type="spellStart"/>
      <w:r w:rsidRPr="00215542">
        <w:rPr>
          <w:sz w:val="20"/>
          <w:szCs w:val="20"/>
        </w:rPr>
        <w:t>TrueNat</w:t>
      </w:r>
      <w:proofErr w:type="spellEnd"/>
      <w:r w:rsidRPr="00215542">
        <w:rPr>
          <w:sz w:val="20"/>
          <w:szCs w:val="20"/>
        </w:rPr>
        <w:t xml:space="preserve"> for COVID-19 who were diagnosed to have and treated for COVID-19 at the SVIMS-SPMCWH-State COVID-19 Hospital, </w:t>
      </w:r>
      <w:proofErr w:type="spellStart"/>
      <w:r w:rsidRPr="00215542">
        <w:rPr>
          <w:sz w:val="20"/>
          <w:szCs w:val="20"/>
        </w:rPr>
        <w:t>Tirupati</w:t>
      </w:r>
      <w:proofErr w:type="spellEnd"/>
      <w:r w:rsidRPr="00215542">
        <w:rPr>
          <w:sz w:val="20"/>
          <w:szCs w:val="20"/>
        </w:rPr>
        <w:t xml:space="preserve"> and are alive at 3 years from the time of discharge. </w:t>
      </w:r>
    </w:p>
    <w:p w:rsidR="00916105" w:rsidRPr="00215542" w:rsidRDefault="00916105" w:rsidP="00916105">
      <w:pPr>
        <w:spacing w:line="360" w:lineRule="auto"/>
        <w:ind w:right="965"/>
        <w:jc w:val="both"/>
        <w:rPr>
          <w:b/>
          <w:sz w:val="20"/>
          <w:szCs w:val="20"/>
        </w:rPr>
      </w:pPr>
      <w:r w:rsidRPr="00215542">
        <w:rPr>
          <w:b/>
          <w:sz w:val="20"/>
          <w:szCs w:val="20"/>
        </w:rPr>
        <w:t xml:space="preserve">Exclusion criteria </w:t>
      </w:r>
    </w:p>
    <w:p w:rsidR="00916105" w:rsidRPr="00215542" w:rsidRDefault="00916105" w:rsidP="00916105">
      <w:pPr>
        <w:spacing w:line="360" w:lineRule="auto"/>
        <w:ind w:right="965"/>
        <w:jc w:val="both"/>
        <w:rPr>
          <w:sz w:val="20"/>
          <w:szCs w:val="20"/>
        </w:rPr>
      </w:pPr>
      <w:r w:rsidRPr="00215542">
        <w:rPr>
          <w:sz w:val="20"/>
          <w:szCs w:val="20"/>
        </w:rPr>
        <w:t xml:space="preserve">(i) Patients &lt;18 years of age; (ii) Patients who have a history of other respiratory complaints, before they got tested positive for COVID-19 (tuberculosis, interstitial lung disease, influenza, hypersensitive pneumonitis); (iii) Subjects unwilling to participate in the study. </w:t>
      </w:r>
    </w:p>
    <w:p w:rsidR="00916105" w:rsidRPr="00215542" w:rsidRDefault="00916105" w:rsidP="00916105">
      <w:pPr>
        <w:spacing w:line="360" w:lineRule="auto"/>
        <w:ind w:right="965"/>
        <w:jc w:val="both"/>
        <w:rPr>
          <w:b/>
          <w:sz w:val="20"/>
          <w:szCs w:val="20"/>
        </w:rPr>
      </w:pPr>
      <w:r w:rsidRPr="00215542">
        <w:rPr>
          <w:b/>
          <w:sz w:val="20"/>
          <w:szCs w:val="20"/>
        </w:rPr>
        <w:t xml:space="preserve">Regulatory clearances </w:t>
      </w:r>
    </w:p>
    <w:p w:rsidR="00916105" w:rsidRPr="00215542" w:rsidRDefault="00916105" w:rsidP="00916105">
      <w:pPr>
        <w:spacing w:line="360" w:lineRule="auto"/>
        <w:ind w:right="965"/>
        <w:jc w:val="both"/>
        <w:rPr>
          <w:sz w:val="20"/>
          <w:szCs w:val="20"/>
        </w:rPr>
      </w:pPr>
      <w:r w:rsidRPr="00215542">
        <w:rPr>
          <w:sz w:val="20"/>
          <w:szCs w:val="20"/>
        </w:rPr>
        <w:t>The study will be initiated after obtaining clearance from the Institutional Ethics Committee.</w:t>
      </w:r>
    </w:p>
    <w:p w:rsidR="00916105" w:rsidRPr="00215542" w:rsidRDefault="00916105" w:rsidP="00916105">
      <w:pPr>
        <w:spacing w:line="360" w:lineRule="auto"/>
        <w:ind w:right="965"/>
        <w:jc w:val="both"/>
        <w:rPr>
          <w:b/>
          <w:sz w:val="20"/>
          <w:szCs w:val="20"/>
        </w:rPr>
      </w:pPr>
      <w:r w:rsidRPr="00215542">
        <w:rPr>
          <w:b/>
          <w:sz w:val="20"/>
          <w:szCs w:val="20"/>
        </w:rPr>
        <w:t xml:space="preserve">Informed consent </w:t>
      </w:r>
    </w:p>
    <w:p w:rsidR="00916105" w:rsidRPr="00215542" w:rsidRDefault="00916105" w:rsidP="00916105">
      <w:pPr>
        <w:spacing w:line="360" w:lineRule="auto"/>
        <w:ind w:right="965"/>
        <w:jc w:val="both"/>
        <w:rPr>
          <w:sz w:val="20"/>
          <w:szCs w:val="20"/>
        </w:rPr>
      </w:pPr>
      <w:r w:rsidRPr="00215542">
        <w:rPr>
          <w:sz w:val="20"/>
          <w:szCs w:val="20"/>
        </w:rPr>
        <w:t xml:space="preserve">Written informed consent will be obtained from study participants in whom physical interviews will be conducted. Verbal/online informed consent will be obtained from participants who will be telephonically interviewed. </w:t>
      </w:r>
    </w:p>
    <w:p w:rsidR="00916105" w:rsidRPr="00215542" w:rsidRDefault="00916105" w:rsidP="00916105">
      <w:pPr>
        <w:spacing w:line="360" w:lineRule="auto"/>
        <w:ind w:right="965"/>
        <w:jc w:val="both"/>
        <w:rPr>
          <w:b/>
          <w:sz w:val="20"/>
          <w:szCs w:val="20"/>
        </w:rPr>
      </w:pPr>
      <w:r w:rsidRPr="00215542">
        <w:rPr>
          <w:b/>
          <w:sz w:val="20"/>
          <w:szCs w:val="20"/>
        </w:rPr>
        <w:t xml:space="preserve">Study procedure </w:t>
      </w:r>
    </w:p>
    <w:p w:rsidR="00916105" w:rsidRPr="00215542" w:rsidRDefault="00916105" w:rsidP="00916105">
      <w:pPr>
        <w:spacing w:line="360" w:lineRule="auto"/>
        <w:ind w:right="965"/>
        <w:jc w:val="both"/>
        <w:rPr>
          <w:sz w:val="20"/>
          <w:szCs w:val="20"/>
        </w:rPr>
      </w:pPr>
      <w:r w:rsidRPr="00215542">
        <w:rPr>
          <w:sz w:val="20"/>
          <w:szCs w:val="20"/>
        </w:rPr>
        <w:t xml:space="preserve">A line-listing of records of patients who had tested positive for COVID-19 by </w:t>
      </w:r>
      <w:proofErr w:type="spellStart"/>
      <w:r w:rsidRPr="00215542">
        <w:rPr>
          <w:sz w:val="20"/>
          <w:szCs w:val="20"/>
        </w:rPr>
        <w:t>rtRT</w:t>
      </w:r>
      <w:proofErr w:type="spellEnd"/>
      <w:r w:rsidRPr="00215542">
        <w:rPr>
          <w:sz w:val="20"/>
          <w:szCs w:val="20"/>
        </w:rPr>
        <w:t xml:space="preserve">-PCR / RAT/ </w:t>
      </w:r>
      <w:proofErr w:type="spellStart"/>
      <w:r w:rsidRPr="00215542">
        <w:rPr>
          <w:sz w:val="20"/>
          <w:szCs w:val="20"/>
        </w:rPr>
        <w:t>TrueNat</w:t>
      </w:r>
      <w:proofErr w:type="spellEnd"/>
      <w:r w:rsidRPr="00215542">
        <w:rPr>
          <w:sz w:val="20"/>
          <w:szCs w:val="20"/>
        </w:rPr>
        <w:t xml:space="preserve"> test and were discharged from the hospital will be obtained from the SVIMS – SPMCW State </w:t>
      </w:r>
      <w:r w:rsidRPr="00215542">
        <w:rPr>
          <w:sz w:val="20"/>
          <w:szCs w:val="20"/>
        </w:rPr>
        <w:lastRenderedPageBreak/>
        <w:t xml:space="preserve">COVID-19 Hospital, </w:t>
      </w:r>
      <w:proofErr w:type="spellStart"/>
      <w:r w:rsidRPr="00215542">
        <w:rPr>
          <w:sz w:val="20"/>
          <w:szCs w:val="20"/>
        </w:rPr>
        <w:t>Tirupati</w:t>
      </w:r>
      <w:proofErr w:type="spellEnd"/>
      <w:r w:rsidRPr="00215542">
        <w:rPr>
          <w:sz w:val="20"/>
          <w:szCs w:val="20"/>
        </w:rPr>
        <w:t>. These patients will be followed-up at 36 months or after their discharge from the hospital. At the time of initial presentation triaging and disease severity stratification was done as per the Ministry of Health and Family Welfare (</w:t>
      </w:r>
      <w:proofErr w:type="spellStart"/>
      <w:r w:rsidRPr="00215542">
        <w:rPr>
          <w:sz w:val="20"/>
          <w:szCs w:val="20"/>
        </w:rPr>
        <w:t>MoHFW</w:t>
      </w:r>
      <w:proofErr w:type="spellEnd"/>
      <w:r w:rsidRPr="00215542">
        <w:rPr>
          <w:sz w:val="20"/>
          <w:szCs w:val="20"/>
        </w:rPr>
        <w:t>) guidelines (</w:t>
      </w:r>
      <w:r w:rsidR="00493511">
        <w:rPr>
          <w:sz w:val="20"/>
          <w:szCs w:val="20"/>
        </w:rPr>
        <w:t>2</w:t>
      </w:r>
      <w:r w:rsidRPr="00215542">
        <w:rPr>
          <w:sz w:val="20"/>
          <w:szCs w:val="20"/>
        </w:rPr>
        <w:t xml:space="preserve">), Government of India, as non-severe and severe COVID-19.  Participants will be contacted through telephone. They will be subjected to a structured questionnaire. Verbal consent will be taken before enrollment. The questionnaire included details regarding demographics, symptoms at admission, method of diagnosis of COVID-19, status of co-morbid conditions, use of oxygen at admission or use of domiciliary oxygen, and asked if they had/were experiencing any unexplained symptoms after recovering from acute COVID-19 infection. </w:t>
      </w:r>
    </w:p>
    <w:p w:rsidR="00916105" w:rsidRPr="00215542" w:rsidRDefault="00916105" w:rsidP="00916105">
      <w:pPr>
        <w:spacing w:line="360" w:lineRule="auto"/>
        <w:ind w:right="965"/>
        <w:jc w:val="both"/>
        <w:rPr>
          <w:sz w:val="20"/>
          <w:szCs w:val="20"/>
        </w:rPr>
      </w:pPr>
      <w:r w:rsidRPr="00215542">
        <w:rPr>
          <w:sz w:val="20"/>
          <w:szCs w:val="20"/>
        </w:rPr>
        <w:t xml:space="preserve">Participants will be asked systematically about symptoms pertaining to various body systems any other complaint. Study participants will be asked to attend a post-COVID-19 follow-up clinic at the institute. Participants who attend the clinic will undergo thorough general physical examination including pulse rate, blood pressure, and oxygen saturation as measured by pulse </w:t>
      </w:r>
      <w:proofErr w:type="spellStart"/>
      <w:r w:rsidRPr="00215542">
        <w:rPr>
          <w:sz w:val="20"/>
          <w:szCs w:val="20"/>
        </w:rPr>
        <w:t>oximetry</w:t>
      </w:r>
      <w:proofErr w:type="spellEnd"/>
      <w:r w:rsidRPr="00215542">
        <w:rPr>
          <w:sz w:val="20"/>
          <w:szCs w:val="20"/>
        </w:rPr>
        <w:t xml:space="preserve">, and will be asked to repeat chest radiograph or CT chest at the institute (128–slice Siemens CT. </w:t>
      </w:r>
      <w:proofErr w:type="spellStart"/>
      <w:r w:rsidRPr="00215542">
        <w:rPr>
          <w:sz w:val="20"/>
          <w:szCs w:val="20"/>
        </w:rPr>
        <w:t>Somatom</w:t>
      </w:r>
      <w:proofErr w:type="spellEnd"/>
      <w:r w:rsidRPr="00215542">
        <w:rPr>
          <w:sz w:val="20"/>
          <w:szCs w:val="20"/>
        </w:rPr>
        <w:t xml:space="preserve"> Definition AS+, Siemens Healthcare, Germany) if they complained of breathlessness or if chest auscultation is abnormal.   Other relevant investigations will be ordered according to their complaints. Details regarding the administration of the Bacillus-</w:t>
      </w:r>
      <w:proofErr w:type="spellStart"/>
      <w:r w:rsidRPr="00215542">
        <w:rPr>
          <w:sz w:val="20"/>
          <w:szCs w:val="20"/>
        </w:rPr>
        <w:t>Calmette</w:t>
      </w:r>
      <w:proofErr w:type="spellEnd"/>
      <w:r w:rsidRPr="00215542">
        <w:rPr>
          <w:sz w:val="20"/>
          <w:szCs w:val="20"/>
        </w:rPr>
        <w:t xml:space="preserve">-Guerin (BCG) vaccine and COVID-19 vaccination, including type of vaccine and dosages of vaccination, and dates of vaccination will also be recorded, to check for vaccine breakthrough infection. Participants who are not willing to attend the post-COVID clinic will be asked to undergo repeat imaging (if needed) and forward the report (or films) via an internationally available, instant messaging platform. </w:t>
      </w:r>
    </w:p>
    <w:p w:rsidR="00916105" w:rsidRPr="00215542" w:rsidRDefault="00916105" w:rsidP="00916105">
      <w:pPr>
        <w:spacing w:line="360" w:lineRule="auto"/>
        <w:ind w:right="965"/>
        <w:jc w:val="both"/>
        <w:rPr>
          <w:b/>
          <w:sz w:val="20"/>
          <w:szCs w:val="20"/>
        </w:rPr>
      </w:pPr>
      <w:r w:rsidRPr="00215542">
        <w:rPr>
          <w:b/>
          <w:sz w:val="20"/>
          <w:szCs w:val="20"/>
        </w:rPr>
        <w:t xml:space="preserve">Statistical analysis </w:t>
      </w:r>
    </w:p>
    <w:p w:rsidR="00916105" w:rsidRPr="00215542" w:rsidRDefault="00916105" w:rsidP="00916105">
      <w:pPr>
        <w:spacing w:line="360" w:lineRule="auto"/>
        <w:ind w:right="965"/>
        <w:jc w:val="both"/>
        <w:rPr>
          <w:sz w:val="20"/>
          <w:szCs w:val="20"/>
        </w:rPr>
      </w:pPr>
      <w:r w:rsidRPr="00215542">
        <w:rPr>
          <w:sz w:val="20"/>
          <w:szCs w:val="20"/>
        </w:rPr>
        <w:t xml:space="preserve">Data will be recorded on a predesigned </w:t>
      </w:r>
      <w:proofErr w:type="spellStart"/>
      <w:r w:rsidRPr="00215542">
        <w:rPr>
          <w:sz w:val="20"/>
          <w:szCs w:val="20"/>
        </w:rPr>
        <w:t>proforma</w:t>
      </w:r>
      <w:proofErr w:type="spellEnd"/>
      <w:r w:rsidRPr="00215542">
        <w:rPr>
          <w:sz w:val="20"/>
          <w:szCs w:val="20"/>
        </w:rPr>
        <w:t xml:space="preserve"> and managed using a Microsoft Excel worksheet (Microsoft Corp. Redmond, WA). All the entries will be double-checked for any possible error. Descriptive statistics for categorical variables will be presented as percentages and for continuous variables as mean ± standard deviation; median (interquartile range) as appropriate. Data will be analyzed using statistical software IBM (International Business Machines Corporation) SPSS (Statistical Package for the Social Sciences) Version 26 (IBM Corp Somers NY, USA).</w:t>
      </w:r>
    </w:p>
    <w:p w:rsidR="00493511" w:rsidRPr="00215542" w:rsidRDefault="00493511" w:rsidP="00493511">
      <w:pPr>
        <w:pStyle w:val="Default"/>
        <w:spacing w:line="360" w:lineRule="auto"/>
        <w:ind w:right="970"/>
        <w:jc w:val="both"/>
        <w:rPr>
          <w:b/>
          <w:color w:val="auto"/>
          <w:sz w:val="20"/>
          <w:szCs w:val="20"/>
        </w:rPr>
      </w:pPr>
      <w:r w:rsidRPr="00215542">
        <w:rPr>
          <w:b/>
          <w:color w:val="auto"/>
          <w:sz w:val="20"/>
          <w:szCs w:val="20"/>
        </w:rPr>
        <w:t>ANTICPATED OUTCOMES</w:t>
      </w:r>
    </w:p>
    <w:p w:rsidR="00493511" w:rsidRPr="00215542" w:rsidRDefault="00493511" w:rsidP="00493511">
      <w:pPr>
        <w:pStyle w:val="Default"/>
        <w:spacing w:line="360" w:lineRule="auto"/>
        <w:ind w:right="970"/>
        <w:jc w:val="both"/>
        <w:rPr>
          <w:color w:val="auto"/>
          <w:sz w:val="20"/>
          <w:szCs w:val="20"/>
        </w:rPr>
      </w:pPr>
      <w:r w:rsidRPr="00215542">
        <w:rPr>
          <w:color w:val="auto"/>
          <w:sz w:val="20"/>
          <w:szCs w:val="20"/>
        </w:rPr>
        <w:t>The study will provide objective reliable data on the long-term clinical consequences in COIVD-</w:t>
      </w:r>
      <w:proofErr w:type="gramStart"/>
      <w:r w:rsidRPr="00215542">
        <w:rPr>
          <w:color w:val="auto"/>
          <w:sz w:val="20"/>
          <w:szCs w:val="20"/>
        </w:rPr>
        <w:t>19  survivors</w:t>
      </w:r>
      <w:proofErr w:type="gramEnd"/>
      <w:r w:rsidRPr="00215542">
        <w:rPr>
          <w:color w:val="auto"/>
          <w:sz w:val="20"/>
          <w:szCs w:val="20"/>
        </w:rPr>
        <w:t xml:space="preserve"> at 3years follow-up and these data will help in formulating  rehabilitation programme for COIVD-19 survivors</w:t>
      </w:r>
    </w:p>
    <w:p w:rsidR="00493511" w:rsidRPr="00215542" w:rsidRDefault="00493511" w:rsidP="00493511">
      <w:pPr>
        <w:pStyle w:val="Default"/>
        <w:spacing w:line="360" w:lineRule="auto"/>
        <w:ind w:right="970"/>
        <w:jc w:val="both"/>
        <w:rPr>
          <w:b/>
          <w:color w:val="auto"/>
          <w:sz w:val="20"/>
          <w:szCs w:val="20"/>
        </w:rPr>
      </w:pPr>
      <w:r w:rsidRPr="00215542">
        <w:rPr>
          <w:b/>
          <w:color w:val="auto"/>
          <w:sz w:val="20"/>
          <w:szCs w:val="20"/>
        </w:rPr>
        <w:t>TIMELINES</w:t>
      </w:r>
    </w:p>
    <w:tbl>
      <w:tblPr>
        <w:tblStyle w:val="TableGrid"/>
        <w:tblW w:w="0" w:type="auto"/>
        <w:tblLook w:val="04A0" w:firstRow="1" w:lastRow="0" w:firstColumn="1" w:lastColumn="0" w:noHBand="0" w:noVBand="1"/>
      </w:tblPr>
      <w:tblGrid>
        <w:gridCol w:w="4786"/>
        <w:gridCol w:w="4790"/>
      </w:tblGrid>
      <w:tr w:rsidR="00493511" w:rsidRPr="00215542" w:rsidTr="00AD52D9">
        <w:tc>
          <w:tcPr>
            <w:tcW w:w="5070" w:type="dxa"/>
          </w:tcPr>
          <w:p w:rsidR="00493511" w:rsidRPr="00215542" w:rsidRDefault="00493511" w:rsidP="00AD52D9">
            <w:pPr>
              <w:pStyle w:val="Default"/>
              <w:spacing w:line="360" w:lineRule="auto"/>
              <w:ind w:right="970"/>
              <w:jc w:val="both"/>
              <w:rPr>
                <w:b/>
                <w:color w:val="auto"/>
                <w:sz w:val="20"/>
                <w:szCs w:val="20"/>
              </w:rPr>
            </w:pPr>
            <w:r w:rsidRPr="00215542">
              <w:rPr>
                <w:b/>
                <w:color w:val="auto"/>
                <w:sz w:val="20"/>
                <w:szCs w:val="20"/>
              </w:rPr>
              <w:t>Target</w:t>
            </w:r>
          </w:p>
        </w:tc>
        <w:tc>
          <w:tcPr>
            <w:tcW w:w="5070" w:type="dxa"/>
          </w:tcPr>
          <w:p w:rsidR="00493511" w:rsidRPr="00215542" w:rsidRDefault="00493511" w:rsidP="00AD52D9">
            <w:pPr>
              <w:pStyle w:val="Default"/>
              <w:spacing w:line="360" w:lineRule="auto"/>
              <w:ind w:right="970"/>
              <w:jc w:val="both"/>
              <w:rPr>
                <w:b/>
                <w:color w:val="auto"/>
                <w:sz w:val="20"/>
                <w:szCs w:val="20"/>
              </w:rPr>
            </w:pPr>
            <w:r w:rsidRPr="00215542">
              <w:rPr>
                <w:b/>
                <w:color w:val="auto"/>
                <w:sz w:val="20"/>
                <w:szCs w:val="20"/>
              </w:rPr>
              <w:t>Time-line</w:t>
            </w:r>
          </w:p>
        </w:tc>
      </w:tr>
      <w:tr w:rsidR="00493511" w:rsidRPr="00215542" w:rsidTr="00AD52D9">
        <w:tc>
          <w:tcPr>
            <w:tcW w:w="5070" w:type="dxa"/>
          </w:tcPr>
          <w:p w:rsidR="00493511" w:rsidRPr="00215542" w:rsidRDefault="00493511" w:rsidP="00AD52D9">
            <w:pPr>
              <w:pStyle w:val="Default"/>
              <w:spacing w:line="360" w:lineRule="auto"/>
              <w:ind w:right="970"/>
              <w:jc w:val="both"/>
              <w:rPr>
                <w:color w:val="auto"/>
                <w:sz w:val="20"/>
                <w:szCs w:val="20"/>
              </w:rPr>
            </w:pPr>
            <w:r w:rsidRPr="00215542">
              <w:rPr>
                <w:color w:val="auto"/>
                <w:sz w:val="20"/>
                <w:szCs w:val="20"/>
              </w:rPr>
              <w:t>1.Obtaining Institutional Ethics Committee (IEC) clearance</w:t>
            </w:r>
          </w:p>
        </w:tc>
        <w:tc>
          <w:tcPr>
            <w:tcW w:w="5070" w:type="dxa"/>
          </w:tcPr>
          <w:p w:rsidR="00493511" w:rsidRPr="00215542" w:rsidRDefault="00493511" w:rsidP="00493511">
            <w:pPr>
              <w:pStyle w:val="Default"/>
              <w:spacing w:line="360" w:lineRule="auto"/>
              <w:ind w:right="970"/>
              <w:jc w:val="both"/>
              <w:rPr>
                <w:color w:val="auto"/>
                <w:sz w:val="20"/>
                <w:szCs w:val="20"/>
              </w:rPr>
            </w:pPr>
            <w:r w:rsidRPr="00215542">
              <w:rPr>
                <w:color w:val="auto"/>
                <w:sz w:val="20"/>
                <w:szCs w:val="20"/>
              </w:rPr>
              <w:t>1 month from date of award of Fellowship in the immediately ensuing IEC meeting.</w:t>
            </w:r>
          </w:p>
        </w:tc>
      </w:tr>
      <w:tr w:rsidR="00493511" w:rsidRPr="00215542" w:rsidTr="00AD52D9">
        <w:tc>
          <w:tcPr>
            <w:tcW w:w="5070" w:type="dxa"/>
          </w:tcPr>
          <w:p w:rsidR="00493511" w:rsidRPr="00215542" w:rsidRDefault="00493511" w:rsidP="00AD52D9">
            <w:pPr>
              <w:pStyle w:val="Default"/>
              <w:spacing w:line="360" w:lineRule="auto"/>
              <w:ind w:right="970"/>
              <w:jc w:val="both"/>
              <w:rPr>
                <w:color w:val="auto"/>
                <w:sz w:val="20"/>
                <w:szCs w:val="20"/>
              </w:rPr>
            </w:pPr>
            <w:r w:rsidRPr="00215542">
              <w:rPr>
                <w:color w:val="auto"/>
                <w:sz w:val="20"/>
                <w:szCs w:val="20"/>
              </w:rPr>
              <w:t>2. Data gathering</w:t>
            </w:r>
          </w:p>
        </w:tc>
        <w:tc>
          <w:tcPr>
            <w:tcW w:w="5070" w:type="dxa"/>
          </w:tcPr>
          <w:p w:rsidR="00493511" w:rsidRPr="00215542" w:rsidRDefault="00493511" w:rsidP="00493511">
            <w:pPr>
              <w:pStyle w:val="Default"/>
              <w:spacing w:line="360" w:lineRule="auto"/>
              <w:ind w:right="970"/>
              <w:jc w:val="both"/>
              <w:rPr>
                <w:color w:val="auto"/>
                <w:sz w:val="20"/>
                <w:szCs w:val="20"/>
              </w:rPr>
            </w:pPr>
            <w:r w:rsidRPr="00215542">
              <w:rPr>
                <w:color w:val="auto"/>
                <w:sz w:val="20"/>
                <w:szCs w:val="20"/>
              </w:rPr>
              <w:t xml:space="preserve">3 months </w:t>
            </w:r>
          </w:p>
        </w:tc>
      </w:tr>
      <w:tr w:rsidR="00493511" w:rsidRPr="00215542" w:rsidTr="00AD52D9">
        <w:tc>
          <w:tcPr>
            <w:tcW w:w="5070" w:type="dxa"/>
          </w:tcPr>
          <w:p w:rsidR="00493511" w:rsidRPr="00215542" w:rsidRDefault="00493511" w:rsidP="00AD52D9">
            <w:pPr>
              <w:pStyle w:val="Default"/>
              <w:spacing w:line="360" w:lineRule="auto"/>
              <w:ind w:right="970"/>
              <w:jc w:val="both"/>
              <w:rPr>
                <w:color w:val="auto"/>
                <w:sz w:val="20"/>
                <w:szCs w:val="20"/>
              </w:rPr>
            </w:pPr>
            <w:r w:rsidRPr="00215542">
              <w:rPr>
                <w:color w:val="auto"/>
                <w:sz w:val="20"/>
                <w:szCs w:val="20"/>
              </w:rPr>
              <w:lastRenderedPageBreak/>
              <w:t>3. Data entry, data analysis, writing up the report</w:t>
            </w:r>
          </w:p>
        </w:tc>
        <w:tc>
          <w:tcPr>
            <w:tcW w:w="5070" w:type="dxa"/>
          </w:tcPr>
          <w:p w:rsidR="00493511" w:rsidRPr="00215542" w:rsidRDefault="00493511" w:rsidP="00493511">
            <w:pPr>
              <w:pStyle w:val="Default"/>
              <w:spacing w:line="360" w:lineRule="auto"/>
              <w:ind w:right="970"/>
              <w:jc w:val="both"/>
              <w:rPr>
                <w:color w:val="auto"/>
                <w:sz w:val="20"/>
                <w:szCs w:val="20"/>
              </w:rPr>
            </w:pPr>
            <w:r w:rsidRPr="00215542">
              <w:rPr>
                <w:color w:val="auto"/>
                <w:sz w:val="20"/>
                <w:szCs w:val="20"/>
              </w:rPr>
              <w:t>2 months</w:t>
            </w:r>
          </w:p>
        </w:tc>
      </w:tr>
      <w:tr w:rsidR="00493511" w:rsidRPr="00215542" w:rsidTr="00AD52D9">
        <w:tc>
          <w:tcPr>
            <w:tcW w:w="5070" w:type="dxa"/>
          </w:tcPr>
          <w:p w:rsidR="00493511" w:rsidRPr="00215542" w:rsidRDefault="00493511" w:rsidP="00AD52D9">
            <w:pPr>
              <w:pStyle w:val="Default"/>
              <w:spacing w:line="360" w:lineRule="auto"/>
              <w:ind w:right="970"/>
              <w:jc w:val="both"/>
              <w:rPr>
                <w:color w:val="auto"/>
                <w:sz w:val="20"/>
                <w:szCs w:val="20"/>
              </w:rPr>
            </w:pPr>
            <w:r w:rsidRPr="00215542">
              <w:rPr>
                <w:color w:val="auto"/>
                <w:sz w:val="20"/>
                <w:szCs w:val="20"/>
              </w:rPr>
              <w:t>Total duration</w:t>
            </w:r>
          </w:p>
        </w:tc>
        <w:tc>
          <w:tcPr>
            <w:tcW w:w="5070" w:type="dxa"/>
          </w:tcPr>
          <w:p w:rsidR="00493511" w:rsidRPr="00215542" w:rsidRDefault="00493511" w:rsidP="00493511">
            <w:pPr>
              <w:pStyle w:val="Default"/>
              <w:spacing w:line="360" w:lineRule="auto"/>
              <w:ind w:right="970"/>
              <w:jc w:val="both"/>
              <w:rPr>
                <w:color w:val="auto"/>
                <w:sz w:val="20"/>
                <w:szCs w:val="20"/>
              </w:rPr>
            </w:pPr>
            <w:r w:rsidRPr="00215542">
              <w:rPr>
                <w:color w:val="auto"/>
                <w:sz w:val="20"/>
                <w:szCs w:val="20"/>
              </w:rPr>
              <w:t>6 months  from date of award of Fellowship</w:t>
            </w:r>
          </w:p>
        </w:tc>
      </w:tr>
    </w:tbl>
    <w:p w:rsidR="00916105" w:rsidRPr="00215542" w:rsidRDefault="00916105" w:rsidP="00916105">
      <w:pPr>
        <w:spacing w:line="360" w:lineRule="auto"/>
        <w:ind w:right="965"/>
        <w:jc w:val="both"/>
        <w:rPr>
          <w:sz w:val="20"/>
          <w:szCs w:val="20"/>
        </w:rPr>
      </w:pPr>
    </w:p>
    <w:p w:rsidR="00032895" w:rsidRDefault="00493511" w:rsidP="00916105">
      <w:pPr>
        <w:spacing w:line="360" w:lineRule="auto"/>
        <w:ind w:right="965"/>
        <w:jc w:val="both"/>
        <w:rPr>
          <w:b/>
          <w:sz w:val="20"/>
          <w:szCs w:val="20"/>
        </w:rPr>
      </w:pPr>
      <w:r w:rsidRPr="00215542">
        <w:rPr>
          <w:b/>
          <w:sz w:val="20"/>
          <w:szCs w:val="20"/>
        </w:rPr>
        <w:t>REFERENCES</w:t>
      </w:r>
    </w:p>
    <w:p w:rsidR="009E13DC" w:rsidRPr="00215542" w:rsidRDefault="009E13DC" w:rsidP="00916105">
      <w:pPr>
        <w:spacing w:line="360" w:lineRule="auto"/>
        <w:ind w:right="965"/>
        <w:jc w:val="both"/>
        <w:rPr>
          <w:sz w:val="20"/>
          <w:szCs w:val="20"/>
        </w:rPr>
      </w:pPr>
      <w:r w:rsidRPr="00215542">
        <w:rPr>
          <w:sz w:val="20"/>
          <w:szCs w:val="20"/>
        </w:rPr>
        <w:t>1.</w:t>
      </w:r>
      <w:r w:rsidRPr="009E13DC">
        <w:rPr>
          <w:sz w:val="20"/>
          <w:szCs w:val="20"/>
        </w:rPr>
        <w:t xml:space="preserve"> </w:t>
      </w:r>
      <w:r w:rsidRPr="00215542">
        <w:rPr>
          <w:color w:val="212121"/>
          <w:sz w:val="20"/>
          <w:szCs w:val="20"/>
          <w:shd w:val="clear" w:color="auto" w:fill="FFFFFF"/>
        </w:rPr>
        <w:t xml:space="preserve">Sharma SK, Mohan A, </w:t>
      </w:r>
      <w:proofErr w:type="spellStart"/>
      <w:r w:rsidRPr="00215542">
        <w:rPr>
          <w:color w:val="212121"/>
          <w:sz w:val="20"/>
          <w:szCs w:val="20"/>
          <w:shd w:val="clear" w:color="auto" w:fill="FFFFFF"/>
        </w:rPr>
        <w:t>Upadhyay</w:t>
      </w:r>
      <w:proofErr w:type="spellEnd"/>
      <w:r w:rsidRPr="00215542">
        <w:rPr>
          <w:color w:val="212121"/>
          <w:sz w:val="20"/>
          <w:szCs w:val="20"/>
          <w:shd w:val="clear" w:color="auto" w:fill="FFFFFF"/>
        </w:rPr>
        <w:t xml:space="preserve"> V. Long COVID syndrome: An unfolding enigma. Indian J Med Res 2024</w:t>
      </w:r>
      <w:proofErr w:type="gramStart"/>
      <w:r w:rsidRPr="00215542">
        <w:rPr>
          <w:color w:val="212121"/>
          <w:sz w:val="20"/>
          <w:szCs w:val="20"/>
          <w:shd w:val="clear" w:color="auto" w:fill="FFFFFF"/>
        </w:rPr>
        <w:t>;159:585</w:t>
      </w:r>
      <w:proofErr w:type="gramEnd"/>
      <w:r w:rsidRPr="00215542">
        <w:rPr>
          <w:color w:val="212121"/>
          <w:sz w:val="20"/>
          <w:szCs w:val="20"/>
          <w:shd w:val="clear" w:color="auto" w:fill="FFFFFF"/>
        </w:rPr>
        <w:t xml:space="preserve">-600. </w:t>
      </w:r>
    </w:p>
    <w:p w:rsidR="00493511" w:rsidRPr="00215542" w:rsidRDefault="009E13DC" w:rsidP="00916105">
      <w:pPr>
        <w:spacing w:line="360" w:lineRule="auto"/>
        <w:ind w:right="965"/>
        <w:jc w:val="both"/>
        <w:rPr>
          <w:sz w:val="20"/>
          <w:szCs w:val="20"/>
        </w:rPr>
      </w:pPr>
      <w:r w:rsidRPr="009E13DC">
        <w:rPr>
          <w:sz w:val="20"/>
          <w:szCs w:val="20"/>
        </w:rPr>
        <w:t>2. Ministry of Health and Family Welfare. Clinical management protocol: COVID 19.</w:t>
      </w:r>
      <w:r w:rsidRPr="00215542">
        <w:rPr>
          <w:sz w:val="20"/>
          <w:szCs w:val="20"/>
        </w:rPr>
        <w:t xml:space="preserve"> </w:t>
      </w:r>
      <w:proofErr w:type="gramStart"/>
      <w:r w:rsidRPr="00215542">
        <w:rPr>
          <w:sz w:val="20"/>
          <w:szCs w:val="20"/>
        </w:rPr>
        <w:t>Available at URL:https://covid19dashboard.mohfw.gov.in/pdf/ClinicalManagementProtocolforCOVID19dated27062020.pdf.</w:t>
      </w:r>
      <w:proofErr w:type="gramEnd"/>
      <w:r w:rsidRPr="00215542">
        <w:rPr>
          <w:sz w:val="20"/>
          <w:szCs w:val="20"/>
        </w:rPr>
        <w:t xml:space="preserve"> </w:t>
      </w:r>
      <w:proofErr w:type="gramStart"/>
      <w:r w:rsidRPr="00215542">
        <w:rPr>
          <w:sz w:val="20"/>
          <w:szCs w:val="20"/>
        </w:rPr>
        <w:t>Accessed on November 29, 2024.</w:t>
      </w:r>
      <w:proofErr w:type="gramEnd"/>
    </w:p>
    <w:sectPr w:rsidR="00493511" w:rsidRPr="00215542" w:rsidSect="0091610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05"/>
    <w:rsid w:val="000F041B"/>
    <w:rsid w:val="00215542"/>
    <w:rsid w:val="00493511"/>
    <w:rsid w:val="005A3A79"/>
    <w:rsid w:val="0074305B"/>
    <w:rsid w:val="00916105"/>
    <w:rsid w:val="009A7D68"/>
    <w:rsid w:val="009E13DC"/>
    <w:rsid w:val="00E94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10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610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6105"/>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916105"/>
    <w:pPr>
      <w:pBdr>
        <w:top w:val="nil"/>
        <w:left w:val="nil"/>
        <w:bottom w:val="nil"/>
        <w:right w:val="nil"/>
        <w:between w:val="nil"/>
        <w:bar w:val="nil"/>
      </w:pBdr>
      <w:spacing w:after="200" w:line="360" w:lineRule="auto"/>
      <w:jc w:val="both"/>
    </w:pPr>
    <w:rPr>
      <w:rFonts w:ascii="Times New Roman" w:eastAsia="Arial Unicode MS" w:hAnsi="Times New Roman" w:cs="Arial Unicode MS"/>
      <w:color w:val="000000"/>
      <w:sz w:val="24"/>
      <w:szCs w:val="24"/>
      <w:u w:color="000000"/>
      <w:bdr w:val="nil"/>
      <w:lang w:val="en-US" w:eastAsia="en-IN"/>
    </w:rPr>
  </w:style>
  <w:style w:type="paragraph" w:styleId="BalloonText">
    <w:name w:val="Balloon Text"/>
    <w:basedOn w:val="Normal"/>
    <w:link w:val="BalloonTextChar"/>
    <w:uiPriority w:val="99"/>
    <w:semiHidden/>
    <w:unhideWhenUsed/>
    <w:rsid w:val="009161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105"/>
    <w:rPr>
      <w:rFonts w:ascii="Segoe UI" w:eastAsia="Times New Roman"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10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610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6105"/>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916105"/>
    <w:pPr>
      <w:pBdr>
        <w:top w:val="nil"/>
        <w:left w:val="nil"/>
        <w:bottom w:val="nil"/>
        <w:right w:val="nil"/>
        <w:between w:val="nil"/>
        <w:bar w:val="nil"/>
      </w:pBdr>
      <w:spacing w:after="200" w:line="360" w:lineRule="auto"/>
      <w:jc w:val="both"/>
    </w:pPr>
    <w:rPr>
      <w:rFonts w:ascii="Times New Roman" w:eastAsia="Arial Unicode MS" w:hAnsi="Times New Roman" w:cs="Arial Unicode MS"/>
      <w:color w:val="000000"/>
      <w:sz w:val="24"/>
      <w:szCs w:val="24"/>
      <w:u w:color="000000"/>
      <w:bdr w:val="nil"/>
      <w:lang w:val="en-US" w:eastAsia="en-IN"/>
    </w:rPr>
  </w:style>
  <w:style w:type="paragraph" w:styleId="BalloonText">
    <w:name w:val="Balloon Text"/>
    <w:basedOn w:val="Normal"/>
    <w:link w:val="BalloonTextChar"/>
    <w:uiPriority w:val="99"/>
    <w:semiHidden/>
    <w:unhideWhenUsed/>
    <w:rsid w:val="009161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10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SVIMS 328</cp:lastModifiedBy>
  <cp:revision>5</cp:revision>
  <dcterms:created xsi:type="dcterms:W3CDTF">2024-11-29T06:27:00Z</dcterms:created>
  <dcterms:modified xsi:type="dcterms:W3CDTF">2024-11-29T07:18:00Z</dcterms:modified>
</cp:coreProperties>
</file>