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Concentracao sem correção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Massa padrão</w:t>
            </w:r>
          </w:p>
        </w:tc>
        <w:tc>
          <w:tcPr>
            <w:tcW w:type="dxa" w:w="1728"/>
          </w:tcPr>
          <w:p>
            <w:r>
              <w:t>Fator de equivalência</w:t>
            </w:r>
          </w:p>
        </w:tc>
        <w:tc>
          <w:tcPr>
            <w:tcW w:type="dxa" w:w="1728"/>
          </w:tcPr>
          <w:p>
            <w:r>
              <w:t>Volume de solução</w:t>
            </w:r>
          </w:p>
        </w:tc>
        <w:tc>
          <w:tcPr>
            <w:tcW w:type="dxa" w:w="1728"/>
          </w:tcPr>
          <w:p>
            <w:r>
              <w:t>Concentração Final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 mg</w:t>
            </w:r>
          </w:p>
        </w:tc>
        <w:tc>
          <w:tcPr>
            <w:tcW w:type="dxa" w:w="1728"/>
          </w:tcPr>
          <w:p>
            <w:r>
              <w:t>4 g/mol</w:t>
            </w:r>
          </w:p>
        </w:tc>
        <w:tc>
          <w:tcPr>
            <w:tcW w:type="dxa" w:w="1728"/>
          </w:tcPr>
          <w:p>
            <w:r>
              <w:t>1 mol/L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