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8E69" w14:textId="77777777" w:rsidR="00041650" w:rsidRPr="00041650" w:rsidRDefault="00041650" w:rsidP="00041650">
      <w:pPr>
        <w:shd w:val="clear" w:color="auto" w:fill="FFFFFF"/>
        <w:spacing w:line="240" w:lineRule="auto"/>
        <w:outlineLvl w:val="0"/>
        <w:rPr>
          <w:rFonts w:ascii="Source Sans Pro" w:eastAsia="Times New Roman" w:hAnsi="Source Sans Pro" w:cs="Arial"/>
          <w:color w:val="1F1F1F"/>
          <w:spacing w:val="-2"/>
          <w:kern w:val="36"/>
          <w:sz w:val="48"/>
          <w:szCs w:val="48"/>
        </w:rPr>
      </w:pPr>
      <w:r w:rsidRPr="00041650">
        <w:rPr>
          <w:rFonts w:ascii="Source Sans Pro" w:eastAsia="Times New Roman" w:hAnsi="Source Sans Pro" w:cs="Arial"/>
          <w:color w:val="1F1F1F"/>
          <w:spacing w:val="-2"/>
          <w:kern w:val="36"/>
          <w:sz w:val="48"/>
          <w:szCs w:val="48"/>
        </w:rPr>
        <w:t>What to do when there is no data</w:t>
      </w:r>
    </w:p>
    <w:p w14:paraId="644A1FD8" w14:textId="77777777" w:rsidR="00041650" w:rsidRPr="00041650" w:rsidRDefault="00041650" w:rsidP="00041650">
      <w:pPr>
        <w:shd w:val="clear" w:color="auto" w:fill="FFFFFF"/>
        <w:spacing w:after="24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Earlier, you learned how you can still do an analysis using proxy data if you have no data. You might have some questions about proxy data, so this reading will give you a few more examples of the types of datasets that can serve as alternate data sources.</w:t>
      </w:r>
    </w:p>
    <w:p w14:paraId="0AB4892C" w14:textId="77777777" w:rsidR="00041650" w:rsidRPr="00041650" w:rsidRDefault="00041650" w:rsidP="00041650">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041650">
        <w:rPr>
          <w:rFonts w:ascii="Source Sans Pro" w:eastAsia="Times New Roman" w:hAnsi="Source Sans Pro" w:cs="Arial"/>
          <w:b/>
          <w:bCs/>
          <w:color w:val="1F1F1F"/>
          <w:spacing w:val="-2"/>
          <w:sz w:val="36"/>
          <w:szCs w:val="36"/>
        </w:rPr>
        <w:t>Proxy data examples</w:t>
      </w:r>
    </w:p>
    <w:p w14:paraId="4AFF1F72" w14:textId="77777777" w:rsidR="00041650" w:rsidRPr="00041650" w:rsidRDefault="00041650" w:rsidP="00041650">
      <w:pPr>
        <w:shd w:val="clear" w:color="auto" w:fill="FFFFFF"/>
        <w:spacing w:after="24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 xml:space="preserve">Sometimes the data to support a business objective isn’t readily available. This is when proxy data is useful. </w:t>
      </w:r>
      <w:proofErr w:type="gramStart"/>
      <w:r w:rsidRPr="00041650">
        <w:rPr>
          <w:rFonts w:ascii="Source Sans Pro" w:eastAsia="Times New Roman" w:hAnsi="Source Sans Pro" w:cs="Arial"/>
          <w:color w:val="1F1F1F"/>
          <w:sz w:val="21"/>
          <w:szCs w:val="21"/>
        </w:rPr>
        <w:t>Take a look</w:t>
      </w:r>
      <w:proofErr w:type="gramEnd"/>
      <w:r w:rsidRPr="00041650">
        <w:rPr>
          <w:rFonts w:ascii="Source Sans Pro" w:eastAsia="Times New Roman" w:hAnsi="Source Sans Pro" w:cs="Arial"/>
          <w:color w:val="1F1F1F"/>
          <w:sz w:val="21"/>
          <w:szCs w:val="21"/>
        </w:rPr>
        <w:t xml:space="preserve"> at the following scenarios and where proxy data comes in for each example:</w:t>
      </w:r>
    </w:p>
    <w:tbl>
      <w:tblPr>
        <w:tblW w:w="11850" w:type="dxa"/>
        <w:tblCellMar>
          <w:top w:w="15" w:type="dxa"/>
          <w:left w:w="15" w:type="dxa"/>
          <w:bottom w:w="15" w:type="dxa"/>
          <w:right w:w="15" w:type="dxa"/>
        </w:tblCellMar>
        <w:tblLook w:val="04A0" w:firstRow="1" w:lastRow="0" w:firstColumn="1" w:lastColumn="0" w:noHBand="0" w:noVBand="1"/>
      </w:tblPr>
      <w:tblGrid>
        <w:gridCol w:w="6240"/>
        <w:gridCol w:w="5610"/>
      </w:tblGrid>
      <w:tr w:rsidR="00041650" w:rsidRPr="00041650" w14:paraId="3EE56675" w14:textId="77777777" w:rsidTr="00041650">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86636AD" w14:textId="77777777" w:rsidR="00041650" w:rsidRPr="00041650" w:rsidRDefault="00041650" w:rsidP="00041650">
            <w:pPr>
              <w:spacing w:after="0" w:line="240" w:lineRule="auto"/>
              <w:rPr>
                <w:rFonts w:ascii="Source Sans Pro" w:eastAsia="Times New Roman" w:hAnsi="Source Sans Pro" w:cs="Times New Roman"/>
                <w:b/>
                <w:bCs/>
                <w:szCs w:val="24"/>
              </w:rPr>
            </w:pPr>
            <w:r w:rsidRPr="00041650">
              <w:rPr>
                <w:rFonts w:ascii="unset" w:eastAsia="Times New Roman" w:hAnsi="unset" w:cs="Times New Roman"/>
                <w:b/>
                <w:bCs/>
                <w:szCs w:val="24"/>
              </w:rPr>
              <w:t>Business scenario</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44C51A8" w14:textId="77777777" w:rsidR="00041650" w:rsidRPr="00041650" w:rsidRDefault="00041650" w:rsidP="00041650">
            <w:pPr>
              <w:spacing w:after="0" w:line="240" w:lineRule="auto"/>
              <w:rPr>
                <w:rFonts w:ascii="Source Sans Pro" w:eastAsia="Times New Roman" w:hAnsi="Source Sans Pro" w:cs="Times New Roman"/>
                <w:b/>
                <w:bCs/>
                <w:szCs w:val="24"/>
              </w:rPr>
            </w:pPr>
            <w:r w:rsidRPr="00041650">
              <w:rPr>
                <w:rFonts w:ascii="unset" w:eastAsia="Times New Roman" w:hAnsi="unset" w:cs="Times New Roman"/>
                <w:b/>
                <w:bCs/>
                <w:szCs w:val="24"/>
              </w:rPr>
              <w:t>How proxy data can be used</w:t>
            </w:r>
          </w:p>
        </w:tc>
      </w:tr>
      <w:tr w:rsidR="00041650" w:rsidRPr="00041650" w14:paraId="799FA2A9" w14:textId="77777777" w:rsidTr="000416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987AD6" w14:textId="77777777" w:rsidR="00041650" w:rsidRPr="00041650" w:rsidRDefault="00041650" w:rsidP="00041650">
            <w:pPr>
              <w:spacing w:after="0" w:line="240" w:lineRule="auto"/>
              <w:rPr>
                <w:rFonts w:ascii="Source Sans Pro" w:eastAsia="Times New Roman" w:hAnsi="Source Sans Pro" w:cs="Times New Roman"/>
                <w:szCs w:val="24"/>
              </w:rPr>
            </w:pPr>
            <w:r w:rsidRPr="00041650">
              <w:rPr>
                <w:rFonts w:ascii="Source Sans Pro" w:eastAsia="Times New Roman" w:hAnsi="Source Sans Pro" w:cs="Times New Roman"/>
                <w:szCs w:val="24"/>
              </w:rPr>
              <w:t>A new car model was just launched a few days ago and the auto dealership can’t wait until the end of the month for sales data to come in. They want sales projections now.</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AD1F89" w14:textId="77777777" w:rsidR="00041650" w:rsidRPr="00041650" w:rsidRDefault="00041650" w:rsidP="00041650">
            <w:pPr>
              <w:spacing w:after="0" w:line="240" w:lineRule="auto"/>
              <w:rPr>
                <w:rFonts w:ascii="Source Sans Pro" w:eastAsia="Times New Roman" w:hAnsi="Source Sans Pro" w:cs="Times New Roman"/>
                <w:szCs w:val="24"/>
              </w:rPr>
            </w:pPr>
            <w:r w:rsidRPr="00041650">
              <w:rPr>
                <w:rFonts w:ascii="Source Sans Pro" w:eastAsia="Times New Roman" w:hAnsi="Source Sans Pro" w:cs="Times New Roman"/>
                <w:szCs w:val="24"/>
              </w:rPr>
              <w:t>The analyst proxies the number of clicks to the car specifications on the dealership’s website as an estimate of potential sales at the dealership.</w:t>
            </w:r>
          </w:p>
        </w:tc>
      </w:tr>
      <w:tr w:rsidR="00041650" w:rsidRPr="00041650" w14:paraId="7DD15697" w14:textId="77777777" w:rsidTr="000416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30152B" w14:textId="77777777" w:rsidR="00041650" w:rsidRPr="00041650" w:rsidRDefault="00041650" w:rsidP="00041650">
            <w:pPr>
              <w:spacing w:after="0" w:line="240" w:lineRule="auto"/>
              <w:rPr>
                <w:rFonts w:ascii="Source Sans Pro" w:eastAsia="Times New Roman" w:hAnsi="Source Sans Pro" w:cs="Times New Roman"/>
                <w:szCs w:val="24"/>
              </w:rPr>
            </w:pPr>
            <w:r w:rsidRPr="00041650">
              <w:rPr>
                <w:rFonts w:ascii="Source Sans Pro" w:eastAsia="Times New Roman" w:hAnsi="Source Sans Pro" w:cs="Times New Roman"/>
                <w:szCs w:val="24"/>
              </w:rPr>
              <w:t xml:space="preserve">A </w:t>
            </w:r>
            <w:proofErr w:type="gramStart"/>
            <w:r w:rsidRPr="00041650">
              <w:rPr>
                <w:rFonts w:ascii="Source Sans Pro" w:eastAsia="Times New Roman" w:hAnsi="Source Sans Pro" w:cs="Times New Roman"/>
                <w:szCs w:val="24"/>
              </w:rPr>
              <w:t>brand new</w:t>
            </w:r>
            <w:proofErr w:type="gramEnd"/>
            <w:r w:rsidRPr="00041650">
              <w:rPr>
                <w:rFonts w:ascii="Source Sans Pro" w:eastAsia="Times New Roman" w:hAnsi="Source Sans Pro" w:cs="Times New Roman"/>
                <w:szCs w:val="24"/>
              </w:rPr>
              <w:t xml:space="preserve"> plant-based meat product was only recently stocked in grocery stores and the supplier needs to estimate the demand over the next four years.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A9027D" w14:textId="77777777" w:rsidR="00041650" w:rsidRPr="00041650" w:rsidRDefault="00041650" w:rsidP="00041650">
            <w:pPr>
              <w:spacing w:after="0" w:line="240" w:lineRule="auto"/>
              <w:rPr>
                <w:rFonts w:ascii="Source Sans Pro" w:eastAsia="Times New Roman" w:hAnsi="Source Sans Pro" w:cs="Times New Roman"/>
                <w:szCs w:val="24"/>
              </w:rPr>
            </w:pPr>
            <w:r w:rsidRPr="00041650">
              <w:rPr>
                <w:rFonts w:ascii="Source Sans Pro" w:eastAsia="Times New Roman" w:hAnsi="Source Sans Pro" w:cs="Times New Roman"/>
                <w:szCs w:val="24"/>
              </w:rPr>
              <w:t xml:space="preserve">The analyst proxies the sales data for a turkey substitute </w:t>
            </w:r>
            <w:proofErr w:type="gramStart"/>
            <w:r w:rsidRPr="00041650">
              <w:rPr>
                <w:rFonts w:ascii="Source Sans Pro" w:eastAsia="Times New Roman" w:hAnsi="Source Sans Pro" w:cs="Times New Roman"/>
                <w:szCs w:val="24"/>
              </w:rPr>
              <w:t>made out of</w:t>
            </w:r>
            <w:proofErr w:type="gramEnd"/>
            <w:r w:rsidRPr="00041650">
              <w:rPr>
                <w:rFonts w:ascii="Source Sans Pro" w:eastAsia="Times New Roman" w:hAnsi="Source Sans Pro" w:cs="Times New Roman"/>
                <w:szCs w:val="24"/>
              </w:rPr>
              <w:t xml:space="preserve"> tofu that has been on the market for several years.</w:t>
            </w:r>
          </w:p>
        </w:tc>
      </w:tr>
      <w:tr w:rsidR="00041650" w:rsidRPr="00041650" w14:paraId="66247BB8" w14:textId="77777777" w:rsidTr="00041650">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2F3CF3F" w14:textId="77777777" w:rsidR="00041650" w:rsidRPr="00041650" w:rsidRDefault="00041650" w:rsidP="00041650">
            <w:pPr>
              <w:spacing w:after="0" w:line="240" w:lineRule="auto"/>
              <w:rPr>
                <w:rFonts w:ascii="Source Sans Pro" w:eastAsia="Times New Roman" w:hAnsi="Source Sans Pro" w:cs="Times New Roman"/>
                <w:szCs w:val="24"/>
              </w:rPr>
            </w:pPr>
            <w:r w:rsidRPr="00041650">
              <w:rPr>
                <w:rFonts w:ascii="Source Sans Pro" w:eastAsia="Times New Roman" w:hAnsi="Source Sans Pro" w:cs="Times New Roman"/>
                <w:szCs w:val="24"/>
              </w:rPr>
              <w:t>The Chamber of Commerce wants to know how a tourism campaign is going to impact travel to their city, but the results from the campaign aren’t publicly available yet.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628F69" w14:textId="77777777" w:rsidR="00041650" w:rsidRPr="00041650" w:rsidRDefault="00041650" w:rsidP="00041650">
            <w:pPr>
              <w:spacing w:after="0" w:line="240" w:lineRule="auto"/>
              <w:rPr>
                <w:rFonts w:ascii="Source Sans Pro" w:eastAsia="Times New Roman" w:hAnsi="Source Sans Pro" w:cs="Times New Roman"/>
                <w:szCs w:val="24"/>
              </w:rPr>
            </w:pPr>
            <w:r w:rsidRPr="00041650">
              <w:rPr>
                <w:rFonts w:ascii="Source Sans Pro" w:eastAsia="Times New Roman" w:hAnsi="Source Sans Pro" w:cs="Times New Roman"/>
                <w:szCs w:val="24"/>
              </w:rPr>
              <w:t>The analyst proxies the historical data for airline bookings to the city one to three months after a similar campaign was run six months earlier.</w:t>
            </w:r>
          </w:p>
        </w:tc>
      </w:tr>
    </w:tbl>
    <w:p w14:paraId="20AB341D" w14:textId="77777777" w:rsidR="00041650" w:rsidRPr="00041650" w:rsidRDefault="00041650" w:rsidP="00041650">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41650">
        <w:rPr>
          <w:rFonts w:ascii="Source Sans Pro" w:eastAsia="Times New Roman" w:hAnsi="Source Sans Pro" w:cs="Arial"/>
          <w:b/>
          <w:bCs/>
          <w:color w:val="1F1F1F"/>
          <w:spacing w:val="-2"/>
          <w:sz w:val="36"/>
          <w:szCs w:val="36"/>
        </w:rPr>
        <w:t>Open (public) datasets</w:t>
      </w:r>
    </w:p>
    <w:p w14:paraId="62FAF016" w14:textId="77777777" w:rsidR="00041650" w:rsidRPr="00041650" w:rsidRDefault="00041650" w:rsidP="00041650">
      <w:pPr>
        <w:shd w:val="clear" w:color="auto" w:fill="FFFFFF"/>
        <w:spacing w:after="24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 xml:space="preserve">If you are part of a large organization, you might have access to lots of sources of data. But if you are looking for something specific or a little outside your line of business, you can also make use of open or public datasets. (You can refer to this </w:t>
      </w:r>
      <w:hyperlink r:id="rId5" w:tgtFrame="_blank" w:tooltip="This link takes you to an article describing the difference between open and public data." w:history="1">
        <w:r w:rsidRPr="00041650">
          <w:rPr>
            <w:rFonts w:ascii="Source Sans Pro" w:eastAsia="Times New Roman" w:hAnsi="Source Sans Pro" w:cs="Arial"/>
            <w:color w:val="0056D2"/>
            <w:sz w:val="21"/>
            <w:szCs w:val="21"/>
            <w:u w:val="single"/>
          </w:rPr>
          <w:t>Towards Data Science article</w:t>
        </w:r>
      </w:hyperlink>
      <w:r w:rsidRPr="00041650">
        <w:rPr>
          <w:rFonts w:ascii="Source Sans Pro" w:eastAsia="Times New Roman" w:hAnsi="Source Sans Pro" w:cs="Arial"/>
          <w:color w:val="1F1F1F"/>
          <w:sz w:val="21"/>
          <w:szCs w:val="21"/>
        </w:rPr>
        <w:t xml:space="preserve"> for a brief explanation of the difference between open and public data.)</w:t>
      </w:r>
    </w:p>
    <w:p w14:paraId="4FD954A2" w14:textId="77777777" w:rsidR="00041650" w:rsidRPr="00041650" w:rsidRDefault="00041650" w:rsidP="00041650">
      <w:pPr>
        <w:shd w:val="clear" w:color="auto" w:fill="FFFFFF"/>
        <w:spacing w:after="24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 xml:space="preserve">Here's an example. A nasal version of a vaccine was recently made available. A clinic wants to know what to expect for contraindications, but just started collecting first-party data from its patients. A </w:t>
      </w:r>
      <w:r w:rsidRPr="00041650">
        <w:rPr>
          <w:rFonts w:ascii="unset" w:eastAsia="Times New Roman" w:hAnsi="unset" w:cs="Arial"/>
          <w:b/>
          <w:bCs/>
          <w:color w:val="1F1F1F"/>
          <w:sz w:val="21"/>
          <w:szCs w:val="21"/>
        </w:rPr>
        <w:t>contraindication</w:t>
      </w:r>
      <w:r w:rsidRPr="00041650">
        <w:rPr>
          <w:rFonts w:ascii="Source Sans Pro" w:eastAsia="Times New Roman" w:hAnsi="Source Sans Pro" w:cs="Arial"/>
          <w:color w:val="1F1F1F"/>
          <w:sz w:val="21"/>
          <w:szCs w:val="21"/>
        </w:rPr>
        <w:t xml:space="preserve"> is a condition that may cause a patient not to take a vaccine due to the harm it would cause them if taken. To estimate the number of possible contraindications, a data analyst proxies an open dataset from a trial of the injection version of the vaccine. The analyst selects a subset of the data with patient profiles most closely matching the makeup of the patients at the clinic. </w:t>
      </w:r>
    </w:p>
    <w:p w14:paraId="5F90A01E" w14:textId="77777777" w:rsidR="00041650" w:rsidRPr="00041650" w:rsidRDefault="00041650" w:rsidP="00041650">
      <w:pPr>
        <w:shd w:val="clear" w:color="auto" w:fill="FFFFFF"/>
        <w:spacing w:after="24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There are plenty of ways to share and collaborate on data within a community. Kaggle (</w:t>
      </w:r>
      <w:hyperlink r:id="rId6" w:tgtFrame="_blank" w:tooltip="This link takes you to the Kaggle home page." w:history="1">
        <w:r w:rsidRPr="00041650">
          <w:rPr>
            <w:rFonts w:ascii="Source Sans Pro" w:eastAsia="Times New Roman" w:hAnsi="Source Sans Pro" w:cs="Arial"/>
            <w:color w:val="0056D2"/>
            <w:sz w:val="21"/>
            <w:szCs w:val="21"/>
            <w:u w:val="single"/>
          </w:rPr>
          <w:t>kaggle.com</w:t>
        </w:r>
      </w:hyperlink>
      <w:r w:rsidRPr="00041650">
        <w:rPr>
          <w:rFonts w:ascii="Source Sans Pro" w:eastAsia="Times New Roman" w:hAnsi="Source Sans Pro" w:cs="Arial"/>
          <w:color w:val="1F1F1F"/>
          <w:sz w:val="21"/>
          <w:szCs w:val="21"/>
        </w:rPr>
        <w:t>) which we previously introduced, has datasets in a variety of formats including the most basic type, Comma Separated Values (CSV) files.  </w:t>
      </w:r>
    </w:p>
    <w:p w14:paraId="4A5B93DC" w14:textId="19525832" w:rsidR="00041650" w:rsidRPr="00041650" w:rsidRDefault="00041650" w:rsidP="00041650">
      <w:pPr>
        <w:shd w:val="clear" w:color="auto" w:fill="FFFFFF"/>
        <w:spacing w:after="0" w:line="240" w:lineRule="auto"/>
        <w:rPr>
          <w:rFonts w:ascii="Arial" w:eastAsia="Times New Roman" w:hAnsi="Arial" w:cs="Arial"/>
          <w:color w:val="1F1F1F"/>
          <w:sz w:val="21"/>
          <w:szCs w:val="21"/>
        </w:rPr>
      </w:pPr>
      <w:r w:rsidRPr="00041650">
        <w:rPr>
          <w:rFonts w:ascii="Arial" w:eastAsia="Times New Roman" w:hAnsi="Arial" w:cs="Arial"/>
          <w:noProof/>
          <w:color w:val="1F1F1F"/>
          <w:sz w:val="21"/>
          <w:szCs w:val="21"/>
        </w:rPr>
        <w:lastRenderedPageBreak/>
        <w:drawing>
          <wp:inline distT="0" distB="0" distL="0" distR="0" wp14:anchorId="5276F840" wp14:editId="15A941EA">
            <wp:extent cx="5943600" cy="1409065"/>
            <wp:effectExtent l="0" t="0" r="0" b="635"/>
            <wp:docPr id="1" name="Picture 1" descr="An image of a magnifying glass and an image of a puzzle piece being added to a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a magnifying glass and an image of a puzzle piece being added to a puzz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9065"/>
                    </a:xfrm>
                    <a:prstGeom prst="rect">
                      <a:avLst/>
                    </a:prstGeom>
                    <a:noFill/>
                    <a:ln>
                      <a:noFill/>
                    </a:ln>
                  </pic:spPr>
                </pic:pic>
              </a:graphicData>
            </a:graphic>
          </wp:inline>
        </w:drawing>
      </w:r>
    </w:p>
    <w:p w14:paraId="36444D84" w14:textId="77777777" w:rsidR="00041650" w:rsidRPr="00041650" w:rsidRDefault="00041650" w:rsidP="00041650">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041650">
        <w:rPr>
          <w:rFonts w:ascii="unset" w:eastAsia="Times New Roman" w:hAnsi="unset" w:cs="Arial"/>
          <w:b/>
          <w:bCs/>
          <w:color w:val="1F1F1F"/>
          <w:spacing w:val="-2"/>
          <w:sz w:val="27"/>
          <w:szCs w:val="27"/>
        </w:rPr>
        <w:t>CSV, JSON, SQLite, and BigQuery datasets</w:t>
      </w:r>
    </w:p>
    <w:p w14:paraId="755E9EAF" w14:textId="77777777" w:rsidR="00041650" w:rsidRPr="00041650" w:rsidRDefault="00041650" w:rsidP="00041650">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 xml:space="preserve">CSV: Check out this </w:t>
      </w:r>
      <w:hyperlink r:id="rId8" w:tgtFrame="_blank" w:tooltip="This link takes you to a Kaggle dataset with anonymized credit card data. " w:history="1">
        <w:r w:rsidRPr="00041650">
          <w:rPr>
            <w:rFonts w:ascii="Source Sans Pro" w:eastAsia="Times New Roman" w:hAnsi="Source Sans Pro" w:cs="Arial"/>
            <w:color w:val="0056D2"/>
            <w:sz w:val="21"/>
            <w:szCs w:val="21"/>
            <w:u w:val="single"/>
          </w:rPr>
          <w:t>Credit card customers</w:t>
        </w:r>
      </w:hyperlink>
      <w:r w:rsidRPr="00041650">
        <w:rPr>
          <w:rFonts w:ascii="Source Sans Pro" w:eastAsia="Times New Roman" w:hAnsi="Source Sans Pro" w:cs="Arial"/>
          <w:color w:val="1F1F1F"/>
          <w:sz w:val="21"/>
          <w:szCs w:val="21"/>
        </w:rPr>
        <w:t xml:space="preserve"> dataset, which has information from 10,000 customers including age, salary, marital status, credit card limit, credit card category, etc. (CC0: Public Domain, Sakshi Goyal). </w:t>
      </w:r>
    </w:p>
    <w:p w14:paraId="49FAA8B1" w14:textId="77777777" w:rsidR="00041650" w:rsidRPr="00041650" w:rsidRDefault="00041650" w:rsidP="00041650">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 xml:space="preserve">JSON: Check out this JSON dataset for </w:t>
      </w:r>
      <w:hyperlink r:id="rId9" w:tgtFrame="_blank" w:tooltip="This link takes you to a Kaggle dataset for trending YouTube videos." w:history="1">
        <w:r w:rsidRPr="00041650">
          <w:rPr>
            <w:rFonts w:ascii="Source Sans Pro" w:eastAsia="Times New Roman" w:hAnsi="Source Sans Pro" w:cs="Arial"/>
            <w:color w:val="0056D2"/>
            <w:sz w:val="21"/>
            <w:szCs w:val="21"/>
            <w:u w:val="single"/>
          </w:rPr>
          <w:t>trending YouTube videos</w:t>
        </w:r>
      </w:hyperlink>
      <w:r w:rsidRPr="00041650">
        <w:rPr>
          <w:rFonts w:ascii="Source Sans Pro" w:eastAsia="Times New Roman" w:hAnsi="Source Sans Pro" w:cs="Arial"/>
          <w:color w:val="1F1F1F"/>
          <w:sz w:val="21"/>
          <w:szCs w:val="21"/>
        </w:rPr>
        <w:t xml:space="preserve"> (CC0: Public Domain, Mitchell J).</w:t>
      </w:r>
    </w:p>
    <w:p w14:paraId="302677BA" w14:textId="77777777" w:rsidR="00041650" w:rsidRPr="00041650" w:rsidRDefault="00041650" w:rsidP="00041650">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 xml:space="preserve">SQLite: Check out this SQLite dataset for 24 years worth of </w:t>
      </w:r>
      <w:hyperlink r:id="rId10" w:tgtFrame="_blank" w:tooltip="This link takes you to a Kaggle dataset for U.S. wildfires." w:history="1">
        <w:r w:rsidRPr="00041650">
          <w:rPr>
            <w:rFonts w:ascii="Source Sans Pro" w:eastAsia="Times New Roman" w:hAnsi="Source Sans Pro" w:cs="Arial"/>
            <w:color w:val="0056D2"/>
            <w:sz w:val="21"/>
            <w:szCs w:val="21"/>
            <w:u w:val="single"/>
          </w:rPr>
          <w:t>U.S. wildfire data</w:t>
        </w:r>
      </w:hyperlink>
      <w:r w:rsidRPr="00041650">
        <w:rPr>
          <w:rFonts w:ascii="Source Sans Pro" w:eastAsia="Times New Roman" w:hAnsi="Source Sans Pro" w:cs="Arial"/>
          <w:color w:val="1F1F1F"/>
          <w:sz w:val="21"/>
          <w:szCs w:val="21"/>
        </w:rPr>
        <w:t xml:space="preserve"> (CC0: Public Domain, Rachael Tatman).</w:t>
      </w:r>
    </w:p>
    <w:p w14:paraId="4ECBE3D9" w14:textId="77777777" w:rsidR="00041650" w:rsidRPr="00041650" w:rsidRDefault="00041650" w:rsidP="00041650">
      <w:pPr>
        <w:numPr>
          <w:ilvl w:val="0"/>
          <w:numId w:val="1"/>
        </w:numPr>
        <w:shd w:val="clear" w:color="auto" w:fill="FFFFFF"/>
        <w:spacing w:after="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 xml:space="preserve">BigQuery: Check out this </w:t>
      </w:r>
      <w:hyperlink r:id="rId11" w:tgtFrame="_blank" w:tooltip="This link takes you to a sample Google Analytics dataset in Kaggle." w:history="1">
        <w:r w:rsidRPr="00041650">
          <w:rPr>
            <w:rFonts w:ascii="Source Sans Pro" w:eastAsia="Times New Roman" w:hAnsi="Source Sans Pro" w:cs="Arial"/>
            <w:color w:val="0056D2"/>
            <w:sz w:val="21"/>
            <w:szCs w:val="21"/>
            <w:u w:val="single"/>
          </w:rPr>
          <w:t>Google Analytics 360</w:t>
        </w:r>
      </w:hyperlink>
      <w:r w:rsidRPr="00041650">
        <w:rPr>
          <w:rFonts w:ascii="Source Sans Pro" w:eastAsia="Times New Roman" w:hAnsi="Source Sans Pro" w:cs="Arial"/>
          <w:color w:val="1F1F1F"/>
          <w:sz w:val="21"/>
          <w:szCs w:val="21"/>
        </w:rPr>
        <w:t xml:space="preserve"> sample dataset from the Google Merchandise Store (CC0 Public Domain, Google BigQuery).</w:t>
      </w:r>
    </w:p>
    <w:p w14:paraId="7EF0EE65" w14:textId="77777777" w:rsidR="00041650" w:rsidRPr="00041650" w:rsidRDefault="00041650" w:rsidP="00041650">
      <w:pPr>
        <w:shd w:val="clear" w:color="auto" w:fill="FFFFFF"/>
        <w:spacing w:after="24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 xml:space="preserve">Refer to the Kaggle </w:t>
      </w:r>
      <w:hyperlink r:id="rId12" w:tgtFrame="_blank" w:tooltip="This link takes you to the Kaggle documentation for datasets." w:history="1">
        <w:r w:rsidRPr="00041650">
          <w:rPr>
            <w:rFonts w:ascii="Source Sans Pro" w:eastAsia="Times New Roman" w:hAnsi="Source Sans Pro" w:cs="Arial"/>
            <w:color w:val="0056D2"/>
            <w:sz w:val="21"/>
            <w:szCs w:val="21"/>
            <w:u w:val="single"/>
          </w:rPr>
          <w:t>documentation for datasets</w:t>
        </w:r>
      </w:hyperlink>
      <w:r w:rsidRPr="00041650">
        <w:rPr>
          <w:rFonts w:ascii="Source Sans Pro" w:eastAsia="Times New Roman" w:hAnsi="Source Sans Pro" w:cs="Arial"/>
          <w:color w:val="1F1F1F"/>
          <w:sz w:val="21"/>
          <w:szCs w:val="21"/>
        </w:rPr>
        <w:t xml:space="preserve"> for more information and search for and explore datasets on your own at </w:t>
      </w:r>
      <w:hyperlink r:id="rId13" w:tgtFrame="_blank" w:tooltip="This link takes you to the main Kaggle datasets page." w:history="1">
        <w:r w:rsidRPr="00041650">
          <w:rPr>
            <w:rFonts w:ascii="Source Sans Pro" w:eastAsia="Times New Roman" w:hAnsi="Source Sans Pro" w:cs="Arial"/>
            <w:color w:val="0056D2"/>
            <w:sz w:val="21"/>
            <w:szCs w:val="21"/>
            <w:u w:val="single"/>
          </w:rPr>
          <w:t>kaggle.com/datasets</w:t>
        </w:r>
      </w:hyperlink>
      <w:r w:rsidRPr="00041650">
        <w:rPr>
          <w:rFonts w:ascii="Source Sans Pro" w:eastAsia="Times New Roman" w:hAnsi="Source Sans Pro" w:cs="Arial"/>
          <w:color w:val="1F1F1F"/>
          <w:sz w:val="21"/>
          <w:szCs w:val="21"/>
        </w:rPr>
        <w:t>.</w:t>
      </w:r>
    </w:p>
    <w:p w14:paraId="7BF68E7A" w14:textId="77777777" w:rsidR="00041650" w:rsidRPr="00041650" w:rsidRDefault="00041650" w:rsidP="00041650">
      <w:pPr>
        <w:shd w:val="clear" w:color="auto" w:fill="FFFFFF"/>
        <w:spacing w:after="240" w:line="240" w:lineRule="auto"/>
        <w:rPr>
          <w:rFonts w:ascii="Source Sans Pro" w:eastAsia="Times New Roman" w:hAnsi="Source Sans Pro" w:cs="Arial"/>
          <w:color w:val="1F1F1F"/>
          <w:sz w:val="21"/>
          <w:szCs w:val="21"/>
        </w:rPr>
      </w:pPr>
      <w:r w:rsidRPr="00041650">
        <w:rPr>
          <w:rFonts w:ascii="Source Sans Pro" w:eastAsia="Times New Roman" w:hAnsi="Source Sans Pro" w:cs="Arial"/>
          <w:color w:val="1F1F1F"/>
          <w:sz w:val="21"/>
          <w:szCs w:val="21"/>
        </w:rPr>
        <w:t xml:space="preserve">As with all other kinds of datasets, be on the lookout for duplicate data and ‘Null’ in open datasets. Null most often means that a data field was unassigned (left empty), but sometimes Null can be interpreted as the value, 0. It is important to understand how Null was used before you start analyzing a dataset with Null data. </w:t>
      </w:r>
    </w:p>
    <w:p w14:paraId="79C1FF64"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05EF1"/>
    <w:multiLevelType w:val="multilevel"/>
    <w:tmpl w:val="FD7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950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2B"/>
    <w:rsid w:val="00041650"/>
    <w:rsid w:val="000A5141"/>
    <w:rsid w:val="0021392A"/>
    <w:rsid w:val="00670B71"/>
    <w:rsid w:val="006F2D2B"/>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0B9C6-DD4E-4330-8ABA-A24BB1BD4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04165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4165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4165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6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16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65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41650"/>
    <w:rPr>
      <w:b/>
      <w:bCs/>
    </w:rPr>
  </w:style>
  <w:style w:type="character" w:styleId="Hyperlink">
    <w:name w:val="Hyperlink"/>
    <w:basedOn w:val="DefaultParagraphFont"/>
    <w:uiPriority w:val="99"/>
    <w:semiHidden/>
    <w:unhideWhenUsed/>
    <w:rsid w:val="000416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2020">
      <w:bodyDiv w:val="1"/>
      <w:marLeft w:val="0"/>
      <w:marRight w:val="0"/>
      <w:marTop w:val="0"/>
      <w:marBottom w:val="0"/>
      <w:divBdr>
        <w:top w:val="none" w:sz="0" w:space="0" w:color="auto"/>
        <w:left w:val="none" w:sz="0" w:space="0" w:color="auto"/>
        <w:bottom w:val="none" w:sz="0" w:space="0" w:color="auto"/>
        <w:right w:val="none" w:sz="0" w:space="0" w:color="auto"/>
      </w:divBdr>
      <w:divsChild>
        <w:div w:id="1319533798">
          <w:marLeft w:val="0"/>
          <w:marRight w:val="0"/>
          <w:marTop w:val="0"/>
          <w:marBottom w:val="720"/>
          <w:divBdr>
            <w:top w:val="none" w:sz="0" w:space="0" w:color="auto"/>
            <w:left w:val="none" w:sz="0" w:space="0" w:color="auto"/>
            <w:bottom w:val="none" w:sz="0" w:space="0" w:color="auto"/>
            <w:right w:val="none" w:sz="0" w:space="0" w:color="auto"/>
          </w:divBdr>
        </w:div>
        <w:div w:id="2015105409">
          <w:marLeft w:val="0"/>
          <w:marRight w:val="0"/>
          <w:marTop w:val="0"/>
          <w:marBottom w:val="0"/>
          <w:divBdr>
            <w:top w:val="none" w:sz="0" w:space="0" w:color="auto"/>
            <w:left w:val="none" w:sz="0" w:space="0" w:color="auto"/>
            <w:bottom w:val="none" w:sz="0" w:space="0" w:color="auto"/>
            <w:right w:val="none" w:sz="0" w:space="0" w:color="auto"/>
          </w:divBdr>
          <w:divsChild>
            <w:div w:id="824051402">
              <w:marLeft w:val="0"/>
              <w:marRight w:val="0"/>
              <w:marTop w:val="0"/>
              <w:marBottom w:val="0"/>
              <w:divBdr>
                <w:top w:val="none" w:sz="0" w:space="0" w:color="auto"/>
                <w:left w:val="none" w:sz="0" w:space="0" w:color="auto"/>
                <w:bottom w:val="none" w:sz="0" w:space="0" w:color="auto"/>
                <w:right w:val="none" w:sz="0" w:space="0" w:color="auto"/>
              </w:divBdr>
              <w:divsChild>
                <w:div w:id="2097169307">
                  <w:marLeft w:val="0"/>
                  <w:marRight w:val="0"/>
                  <w:marTop w:val="0"/>
                  <w:marBottom w:val="0"/>
                  <w:divBdr>
                    <w:top w:val="none" w:sz="0" w:space="0" w:color="auto"/>
                    <w:left w:val="none" w:sz="0" w:space="0" w:color="auto"/>
                    <w:bottom w:val="none" w:sz="0" w:space="0" w:color="auto"/>
                    <w:right w:val="none" w:sz="0" w:space="0" w:color="auto"/>
                  </w:divBdr>
                  <w:divsChild>
                    <w:div w:id="118184489">
                      <w:marLeft w:val="0"/>
                      <w:marRight w:val="0"/>
                      <w:marTop w:val="0"/>
                      <w:marBottom w:val="0"/>
                      <w:divBdr>
                        <w:top w:val="none" w:sz="0" w:space="0" w:color="auto"/>
                        <w:left w:val="none" w:sz="0" w:space="0" w:color="auto"/>
                        <w:bottom w:val="none" w:sz="0" w:space="0" w:color="auto"/>
                        <w:right w:val="none" w:sz="0" w:space="0" w:color="auto"/>
                      </w:divBdr>
                      <w:divsChild>
                        <w:div w:id="289092882">
                          <w:marLeft w:val="0"/>
                          <w:marRight w:val="0"/>
                          <w:marTop w:val="0"/>
                          <w:marBottom w:val="0"/>
                          <w:divBdr>
                            <w:top w:val="none" w:sz="0" w:space="0" w:color="auto"/>
                            <w:left w:val="none" w:sz="0" w:space="0" w:color="auto"/>
                            <w:bottom w:val="none" w:sz="0" w:space="0" w:color="auto"/>
                            <w:right w:val="none" w:sz="0" w:space="0" w:color="auto"/>
                          </w:divBdr>
                          <w:divsChild>
                            <w:div w:id="984972067">
                              <w:marLeft w:val="0"/>
                              <w:marRight w:val="0"/>
                              <w:marTop w:val="0"/>
                              <w:marBottom w:val="0"/>
                              <w:divBdr>
                                <w:top w:val="none" w:sz="0" w:space="0" w:color="auto"/>
                                <w:left w:val="none" w:sz="0" w:space="0" w:color="auto"/>
                                <w:bottom w:val="none" w:sz="0" w:space="0" w:color="auto"/>
                                <w:right w:val="none" w:sz="0" w:space="0" w:color="auto"/>
                              </w:divBdr>
                            </w:div>
                            <w:div w:id="4066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akshigoyal7/credit-card-customers" TargetMode="External"/><Relationship Id="rId13" Type="http://schemas.openxmlformats.org/officeDocument/2006/relationships/hyperlink" Target="https://www.kaggle.com/datase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ocs/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hyperlink" Target="https://www.kaggle.com/bigquery/google-analytics-sample" TargetMode="External"/><Relationship Id="rId5" Type="http://schemas.openxmlformats.org/officeDocument/2006/relationships/hyperlink" Target="https://towardsdatascience.com/is-there-a-difference-between-open-data-and-public-data-6261cd7b5389" TargetMode="External"/><Relationship Id="rId15" Type="http://schemas.openxmlformats.org/officeDocument/2006/relationships/theme" Target="theme/theme1.xml"/><Relationship Id="rId10" Type="http://schemas.openxmlformats.org/officeDocument/2006/relationships/hyperlink" Target="https://www.kaggle.com/rtatman/188-million-us-wildfires" TargetMode="External"/><Relationship Id="rId4" Type="http://schemas.openxmlformats.org/officeDocument/2006/relationships/webSettings" Target="webSettings.xml"/><Relationship Id="rId9" Type="http://schemas.openxmlformats.org/officeDocument/2006/relationships/hyperlink" Target="https://www.kaggle.com/datasnaek/youtube-new" TargetMode="Externa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845</Words>
  <Characters>4110</Characters>
  <Application>Microsoft Office Word</Application>
  <DocSecurity>0</DocSecurity>
  <Lines>77</Lines>
  <Paragraphs>36</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2023-01-10T16:05:00Z</dcterms:created>
  <dcterms:modified xsi:type="dcterms:W3CDTF">2023-01-10T16:05:00Z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408d661b4381588f7309cd364784d7ae2a8dae7be828e461f2f1e1868cf3d07c</vt:lpwstr>
  </property>
</Properties>
</file>