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Comparative Analysis:</w:t>
      </w:r>
    </w:p>
    <w:p>
      <w:pPr>
        <w:spacing w:after="60"/>
        <w:jc w:val="center"/>
      </w:pPr>
      <w:r>
        <w:rPr>
          <w:b/>
          <w:bCs/>
          <w:sz w:val="26"/>
          <w:szCs w:val="26"/>
        </w:rPr>
        <w:t xml:space="preserve">Existing Medical Vision-Language Models vs. Our Proposed System</w:t>
      </w:r>
    </w:p>
    <w:p>
      <w:pPr>
        <w:spacing w:after="40"/>
        <w:jc w:val="center"/>
      </w:pPr>
      <w:r>
        <w:rPr>
          <w:i/>
          <w:iCs/>
          <w:sz w:val="24"/>
          <w:szCs w:val="24"/>
        </w:rPr>
        <w:t xml:space="preserve">Mini Hackathon 2 Report</w:t>
      </w:r>
    </w:p>
    <w:p>
      <w:pPr>
        <w:pBdr>
          <w:bottom w:val="single" w:color="999999" w:sz="6" w:space="8"/>
        </w:pBdr>
        <w:spacing w:after="300"/>
        <w:jc w:val="center"/>
      </w:pPr>
      <w:r>
        <w:rPr>
          <w:i/>
          <w:iCs/>
          <w:color w:val="555555"/>
          <w:sz w:val="22"/>
          <w:szCs w:val="22"/>
        </w:rPr>
        <w:t xml:space="preserve">NLP Specialization Capstone Project</w:t>
      </w:r>
    </w:p>
    <w:p>
      <w:pPr>
        <w:pStyle w:val="Heading1"/>
        <w:spacing w:after="150" w:before="300"/>
      </w:pPr>
      <w:r>
        <w:t xml:space="preserve">1. Objective</w:t>
      </w:r>
    </w:p>
    <w:p>
      <w:pPr>
        <w:spacing w:after="140"/>
      </w:pPr>
      <w:r>
        <w:t xml:space="preserve">Mini Hackathon 1 established the design of our proposed system — an explainable, retrieval-grounded, CPU-deployable diagnostic assistant. This report positions that system against the models covered in our literature survey: CNN classifiers, explainability methods, image-text contrastive models, knowledge-enhanced vision-language pretraining, and generative vision-language models. The goal is to identify what each prior approach contributes, what it leaves out, and how our proposed system's design choices close that gap — without overstating our small-scale, CPU-only results against large, differently-benchmarked prior work.</w:t>
      </w:r>
    </w:p>
    <w:p>
      <w:pPr>
        <w:pStyle w:val="Heading1"/>
        <w:spacing w:after="150" w:before="300"/>
      </w:pPr>
      <w:r>
        <w:t xml:space="preserve">2. Evolution of Approaches in the Literature</w:t>
      </w:r>
    </w:p>
    <w:p>
      <w:pPr>
        <w:spacing w:after="140"/>
      </w:pPr>
      <w:r>
        <w:t xml:space="preserve">Prior work in this space can be grouped into five generations, each adding one major capability. Our proposed system is positioned as a sixth generation that combines the practical parts of each into a single lightweight pipeline, rather than reproducing any one generation's full scale.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400"/>
      </w:tblGrid>
      <w:tr>
        <w:trPr>
          <w:tblHeader/>
        </w:trPr>
        <w:tc>
          <w:tcPr>
            <w:tcW w:type="dxa" w:w="3000"/>
            <w:shd w:fill="D9E2F3" w:val="clear"/>
            <w:tcMar>
              <w:top w:type="dxa" w:w="70"/>
              <w:left w:type="dxa" w:w="100"/>
              <w:bottom w:type="dxa" w:w="70"/>
              <w:right w:type="dxa" w:w="100"/>
            </w:tcMar>
            <w:vAlign w:val="top"/>
          </w:tcPr>
          <w:p>
            <w:r>
              <w:rPr>
                <w:b/>
                <w:bCs/>
                <w:sz w:val="18"/>
                <w:szCs w:val="18"/>
              </w:rPr>
              <w:t xml:space="preserve">Generation</w:t>
            </w:r>
          </w:p>
        </w:tc>
        <w:tc>
          <w:tcPr>
            <w:tcW w:type="dxa" w:w="3400"/>
            <w:shd w:fill="D9E2F3" w:val="clear"/>
            <w:tcMar>
              <w:top w:type="dxa" w:w="70"/>
              <w:left w:type="dxa" w:w="100"/>
              <w:bottom w:type="dxa" w:w="70"/>
              <w:right w:type="dxa" w:w="100"/>
            </w:tcMar>
            <w:vAlign w:val="top"/>
          </w:tcPr>
          <w:p>
            <w:r>
              <w:rPr>
                <w:b/>
                <w:bCs/>
                <w:sz w:val="18"/>
                <w:szCs w:val="18"/>
              </w:rPr>
              <w:t xml:space="preserve">Representative Models</w:t>
            </w:r>
          </w:p>
        </w:tc>
        <w:tc>
          <w:tcPr>
            <w:tcW w:type="dxa" w:w="3400"/>
            <w:shd w:fill="D9E2F3" w:val="clear"/>
            <w:tcMar>
              <w:top w:type="dxa" w:w="70"/>
              <w:left w:type="dxa" w:w="100"/>
              <w:bottom w:type="dxa" w:w="70"/>
              <w:right w:type="dxa" w:w="100"/>
            </w:tcMar>
            <w:vAlign w:val="top"/>
          </w:tcPr>
          <w:p>
            <w:r>
              <w:rPr>
                <w:b/>
                <w:bCs/>
                <w:sz w:val="18"/>
                <w:szCs w:val="18"/>
              </w:rPr>
              <w:t xml:space="preserve">Main Focus</w:t>
            </w:r>
          </w:p>
        </w:tc>
      </w:tr>
      <w:tr>
        <w:tc>
          <w:tcPr>
            <w:tcW w:type="dxa" w:w="3000"/>
            <w:tcMar>
              <w:top w:type="dxa" w:w="70"/>
              <w:left w:type="dxa" w:w="100"/>
              <w:bottom w:type="dxa" w:w="70"/>
              <w:right w:type="dxa" w:w="100"/>
            </w:tcMar>
            <w:vAlign w:val="top"/>
          </w:tcPr>
          <w:p>
            <w:r>
              <w:rPr>
                <w:b w:val="false"/>
                <w:bCs w:val="false"/>
                <w:sz w:val="17"/>
                <w:szCs w:val="17"/>
              </w:rPr>
              <w:t xml:space="preserve">1. CNN-based diagnosis</w:t>
            </w:r>
          </w:p>
        </w:tc>
        <w:tc>
          <w:tcPr>
            <w:tcW w:type="dxa" w:w="3400"/>
            <w:tcMar>
              <w:top w:type="dxa" w:w="70"/>
              <w:left w:type="dxa" w:w="100"/>
              <w:bottom w:type="dxa" w:w="70"/>
              <w:right w:type="dxa" w:w="100"/>
            </w:tcMar>
            <w:vAlign w:val="top"/>
          </w:tcPr>
          <w:p>
            <w:r>
              <w:rPr>
                <w:b w:val="false"/>
                <w:bCs w:val="false"/>
                <w:sz w:val="17"/>
                <w:szCs w:val="17"/>
              </w:rPr>
              <w:t xml:space="preserve">ResNet, DenseNet, CheXNet</w:t>
            </w:r>
          </w:p>
        </w:tc>
        <w:tc>
          <w:tcPr>
            <w:tcW w:type="dxa" w:w="3400"/>
            <w:tcMar>
              <w:top w:type="dxa" w:w="70"/>
              <w:left w:type="dxa" w:w="100"/>
              <w:bottom w:type="dxa" w:w="70"/>
              <w:right w:type="dxa" w:w="100"/>
            </w:tcMar>
            <w:vAlign w:val="top"/>
          </w:tcPr>
          <w:p>
            <w:r>
              <w:rPr>
                <w:b w:val="false"/>
                <w:bCs w:val="false"/>
                <w:sz w:val="17"/>
                <w:szCs w:val="17"/>
              </w:rPr>
              <w:t xml:space="preserve">Disease classification</w:t>
            </w:r>
          </w:p>
        </w:tc>
      </w:tr>
      <w:tr>
        <w:tc>
          <w:tcPr>
            <w:tcW w:type="dxa" w:w="3000"/>
            <w:tcMar>
              <w:top w:type="dxa" w:w="70"/>
              <w:left w:type="dxa" w:w="100"/>
              <w:bottom w:type="dxa" w:w="70"/>
              <w:right w:type="dxa" w:w="100"/>
            </w:tcMar>
            <w:vAlign w:val="top"/>
          </w:tcPr>
          <w:p>
            <w:r>
              <w:rPr>
                <w:b w:val="false"/>
                <w:bCs w:val="false"/>
                <w:sz w:val="17"/>
                <w:szCs w:val="17"/>
              </w:rPr>
              <w:t xml:space="preserve">2. Visual explanation</w:t>
            </w:r>
          </w:p>
        </w:tc>
        <w:tc>
          <w:tcPr>
            <w:tcW w:type="dxa" w:w="3400"/>
            <w:tcMar>
              <w:top w:type="dxa" w:w="70"/>
              <w:left w:type="dxa" w:w="100"/>
              <w:bottom w:type="dxa" w:w="70"/>
              <w:right w:type="dxa" w:w="100"/>
            </w:tcMar>
            <w:vAlign w:val="top"/>
          </w:tcPr>
          <w:p>
            <w:r>
              <w:rPr>
                <w:b w:val="false"/>
                <w:bCs w:val="false"/>
                <w:sz w:val="17"/>
                <w:szCs w:val="17"/>
              </w:rPr>
              <w:t xml:space="preserve">Grad-CAM, Saliency Maps</w:t>
            </w:r>
          </w:p>
        </w:tc>
        <w:tc>
          <w:tcPr>
            <w:tcW w:type="dxa" w:w="3400"/>
            <w:tcMar>
              <w:top w:type="dxa" w:w="70"/>
              <w:left w:type="dxa" w:w="100"/>
              <w:bottom w:type="dxa" w:w="70"/>
              <w:right w:type="dxa" w:w="100"/>
            </w:tcMar>
            <w:vAlign w:val="top"/>
          </w:tcPr>
          <w:p>
            <w:r>
              <w:rPr>
                <w:b w:val="false"/>
                <w:bCs w:val="false"/>
                <w:sz w:val="17"/>
                <w:szCs w:val="17"/>
              </w:rPr>
              <w:t xml:space="preserve">Where did the model look?</w:t>
            </w:r>
          </w:p>
        </w:tc>
      </w:tr>
      <w:tr>
        <w:tc>
          <w:tcPr>
            <w:tcW w:type="dxa" w:w="3000"/>
            <w:tcMar>
              <w:top w:type="dxa" w:w="70"/>
              <w:left w:type="dxa" w:w="100"/>
              <w:bottom w:type="dxa" w:w="70"/>
              <w:right w:type="dxa" w:w="100"/>
            </w:tcMar>
            <w:vAlign w:val="top"/>
          </w:tcPr>
          <w:p>
            <w:r>
              <w:rPr>
                <w:b w:val="false"/>
                <w:bCs w:val="false"/>
                <w:sz w:val="17"/>
                <w:szCs w:val="17"/>
              </w:rPr>
              <w:t xml:space="preserve">3. Image-text learning</w:t>
            </w:r>
          </w:p>
        </w:tc>
        <w:tc>
          <w:tcPr>
            <w:tcW w:type="dxa" w:w="3400"/>
            <w:tcMar>
              <w:top w:type="dxa" w:w="70"/>
              <w:left w:type="dxa" w:w="100"/>
              <w:bottom w:type="dxa" w:w="70"/>
              <w:right w:type="dxa" w:w="100"/>
            </w:tcMar>
            <w:vAlign w:val="top"/>
          </w:tcPr>
          <w:p>
            <w:r>
              <w:rPr>
                <w:b w:val="false"/>
                <w:bCs w:val="false"/>
                <w:sz w:val="17"/>
                <w:szCs w:val="17"/>
              </w:rPr>
              <w:t xml:space="preserve">ConVIRT, GLoRIA</w:t>
            </w:r>
          </w:p>
        </w:tc>
        <w:tc>
          <w:tcPr>
            <w:tcW w:type="dxa" w:w="3400"/>
            <w:tcMar>
              <w:top w:type="dxa" w:w="70"/>
              <w:left w:type="dxa" w:w="100"/>
              <w:bottom w:type="dxa" w:w="70"/>
              <w:right w:type="dxa" w:w="100"/>
            </w:tcMar>
            <w:vAlign w:val="top"/>
          </w:tcPr>
          <w:p>
            <w:r>
              <w:rPr>
                <w:b w:val="false"/>
                <w:bCs w:val="false"/>
                <w:sz w:val="17"/>
                <w:szCs w:val="17"/>
              </w:rPr>
              <w:t xml:space="preserve">Connect X-rays with medical reports</w:t>
            </w:r>
          </w:p>
        </w:tc>
      </w:tr>
      <w:tr>
        <w:tc>
          <w:tcPr>
            <w:tcW w:type="dxa" w:w="3000"/>
            <w:tcMar>
              <w:top w:type="dxa" w:w="70"/>
              <w:left w:type="dxa" w:w="100"/>
              <w:bottom w:type="dxa" w:w="70"/>
              <w:right w:type="dxa" w:w="100"/>
            </w:tcMar>
            <w:vAlign w:val="top"/>
          </w:tcPr>
          <w:p>
            <w:r>
              <w:rPr>
                <w:b w:val="false"/>
                <w:bCs w:val="false"/>
                <w:sz w:val="17"/>
                <w:szCs w:val="17"/>
              </w:rPr>
              <w:t xml:space="preserve">4. Knowledge-enhanced VLP</w:t>
            </w:r>
          </w:p>
        </w:tc>
        <w:tc>
          <w:tcPr>
            <w:tcW w:type="dxa" w:w="3400"/>
            <w:tcMar>
              <w:top w:type="dxa" w:w="70"/>
              <w:left w:type="dxa" w:w="100"/>
              <w:bottom w:type="dxa" w:w="70"/>
              <w:right w:type="dxa" w:w="100"/>
            </w:tcMar>
            <w:vAlign w:val="top"/>
          </w:tcPr>
          <w:p>
            <w:r>
              <w:rPr>
                <w:b w:val="false"/>
                <w:bCs w:val="false"/>
                <w:sz w:val="17"/>
                <w:szCs w:val="17"/>
              </w:rPr>
              <w:t xml:space="preserve">MedKLIP, MedCLIP</w:t>
            </w:r>
          </w:p>
        </w:tc>
        <w:tc>
          <w:tcPr>
            <w:tcW w:type="dxa" w:w="3400"/>
            <w:tcMar>
              <w:top w:type="dxa" w:w="70"/>
              <w:left w:type="dxa" w:w="100"/>
              <w:bottom w:type="dxa" w:w="70"/>
              <w:right w:type="dxa" w:w="100"/>
            </w:tcMar>
            <w:vAlign w:val="top"/>
          </w:tcPr>
          <w:p>
            <w:r>
              <w:rPr>
                <w:b w:val="false"/>
                <w:bCs w:val="false"/>
                <w:sz w:val="17"/>
                <w:szCs w:val="17"/>
              </w:rPr>
              <w:t xml:space="preserve">Connect images, text and medical semantics</w:t>
            </w:r>
          </w:p>
        </w:tc>
      </w:tr>
      <w:tr>
        <w:tc>
          <w:tcPr>
            <w:tcW w:type="dxa" w:w="3000"/>
            <w:tcMar>
              <w:top w:type="dxa" w:w="70"/>
              <w:left w:type="dxa" w:w="100"/>
              <w:bottom w:type="dxa" w:w="70"/>
              <w:right w:type="dxa" w:w="100"/>
            </w:tcMar>
            <w:vAlign w:val="top"/>
          </w:tcPr>
          <w:p>
            <w:r>
              <w:rPr>
                <w:b w:val="false"/>
                <w:bCs w:val="false"/>
                <w:sz w:val="17"/>
                <w:szCs w:val="17"/>
              </w:rPr>
              <w:t xml:space="preserve">5. Vision-language generation</w:t>
            </w:r>
          </w:p>
        </w:tc>
        <w:tc>
          <w:tcPr>
            <w:tcW w:type="dxa" w:w="3400"/>
            <w:tcMar>
              <w:top w:type="dxa" w:w="70"/>
              <w:left w:type="dxa" w:w="100"/>
              <w:bottom w:type="dxa" w:w="70"/>
              <w:right w:type="dxa" w:w="100"/>
            </w:tcMar>
            <w:vAlign w:val="top"/>
          </w:tcPr>
          <w:p>
            <w:r>
              <w:rPr>
                <w:b w:val="false"/>
                <w:bCs w:val="false"/>
                <w:sz w:val="17"/>
                <w:szCs w:val="17"/>
              </w:rPr>
              <w:t xml:space="preserve">BLIP-2</w:t>
            </w:r>
          </w:p>
        </w:tc>
        <w:tc>
          <w:tcPr>
            <w:tcW w:type="dxa" w:w="3400"/>
            <w:tcMar>
              <w:top w:type="dxa" w:w="70"/>
              <w:left w:type="dxa" w:w="100"/>
              <w:bottom w:type="dxa" w:w="70"/>
              <w:right w:type="dxa" w:w="100"/>
            </w:tcMar>
            <w:vAlign w:val="top"/>
          </w:tcPr>
          <w:p>
            <w:r>
              <w:rPr>
                <w:b w:val="false"/>
                <w:bCs w:val="false"/>
                <w:sz w:val="17"/>
                <w:szCs w:val="17"/>
              </w:rPr>
              <w:t xml:space="preserve">Generate language from visual information</w:t>
            </w:r>
          </w:p>
        </w:tc>
      </w:tr>
      <w:tr>
        <w:tc>
          <w:tcPr>
            <w:tcW w:type="dxa" w:w="3000"/>
            <w:tcMar>
              <w:top w:type="dxa" w:w="70"/>
              <w:left w:type="dxa" w:w="100"/>
              <w:bottom w:type="dxa" w:w="70"/>
              <w:right w:type="dxa" w:w="100"/>
            </w:tcMar>
            <w:vAlign w:val="top"/>
          </w:tcPr>
          <w:p>
            <w:r>
              <w:rPr>
                <w:b w:val="false"/>
                <w:bCs w:val="false"/>
                <w:sz w:val="17"/>
                <w:szCs w:val="17"/>
              </w:rPr>
              <w:t xml:space="preserve">6. Proposed system</w:t>
            </w:r>
          </w:p>
        </w:tc>
        <w:tc>
          <w:tcPr>
            <w:tcW w:type="dxa" w:w="3400"/>
            <w:tcMar>
              <w:top w:type="dxa" w:w="70"/>
              <w:left w:type="dxa" w:w="100"/>
              <w:bottom w:type="dxa" w:w="70"/>
              <w:right w:type="dxa" w:w="100"/>
            </w:tcMar>
            <w:vAlign w:val="top"/>
          </w:tcPr>
          <w:p>
            <w:r>
              <w:rPr>
                <w:b w:val="false"/>
                <w:bCs w:val="false"/>
                <w:sz w:val="17"/>
                <w:szCs w:val="17"/>
              </w:rPr>
              <w:t xml:space="preserve">Our Model</w:t>
            </w:r>
          </w:p>
        </w:tc>
        <w:tc>
          <w:tcPr>
            <w:tcW w:type="dxa" w:w="3400"/>
            <w:tcMar>
              <w:top w:type="dxa" w:w="70"/>
              <w:left w:type="dxa" w:w="100"/>
              <w:bottom w:type="dxa" w:w="70"/>
              <w:right w:type="dxa" w:w="100"/>
            </w:tcMar>
            <w:vAlign w:val="top"/>
          </w:tcPr>
          <w:p>
            <w:r>
              <w:rPr>
                <w:b w:val="false"/>
                <w:bCs w:val="false"/>
                <w:sz w:val="17"/>
                <w:szCs w:val="17"/>
              </w:rPr>
              <w:t xml:space="preserve">Diagnosis → Explanation → Evidence → Report Support → Triage</w:t>
            </w:r>
          </w:p>
        </w:tc>
      </w:tr>
    </w:tbl>
    <w:p>
      <w:pPr>
        <w:sectPr>
          <w:pgSz w:w="12240" w:h="15840" w:orient="portrait"/>
          <w:pgMar w:top="900" w:right="900" w:bottom="900" w:left="900" w:header="708" w:footer="708" w:gutter="0"/>
          <w:pgNumType/>
          <w:docGrid w:linePitch="360"/>
        </w:sectPr>
      </w:pPr>
    </w:p>
    <w:p>
      <w:pPr>
        <w:pStyle w:val="Heading1"/>
        <w:spacing w:after="150" w:before="300"/>
      </w:pPr>
      <w:r>
        <w:t xml:space="preserve">3. Comparative Analysis: Existing Models vs. Proposed System</w:t>
      </w:r>
    </w:p>
    <w:p>
      <w:pPr>
        <w:spacing w:after="140"/>
      </w:pPr>
      <w:r>
        <w:t xml:space="preserve">The table below expands each generation into its specific models, showing exactly what capability each one contributes and how our proposed system relates to it. The highlighted final row is our system.</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350"/>
        <w:gridCol w:w="1800"/>
        <w:gridCol w:w="1980"/>
        <w:gridCol w:w="1530"/>
        <w:gridCol w:w="1710"/>
        <w:gridCol w:w="1620"/>
        <w:gridCol w:w="1710"/>
        <w:gridCol w:w="2340"/>
      </w:tblGrid>
      <w:tr>
        <w:trPr>
          <w:tblHeader/>
        </w:trPr>
        <w:tc>
          <w:tcPr>
            <w:tcW w:type="dxa" w:w="1350"/>
            <w:shd w:fill="D9E2F3" w:val="clear"/>
            <w:tcMar>
              <w:top w:type="dxa" w:w="70"/>
              <w:left w:type="dxa" w:w="100"/>
              <w:bottom w:type="dxa" w:w="70"/>
              <w:right w:type="dxa" w:w="100"/>
            </w:tcMar>
            <w:vAlign w:val="top"/>
          </w:tcPr>
          <w:p>
            <w:r>
              <w:rPr>
                <w:b/>
                <w:bCs/>
                <w:sz w:val="17"/>
                <w:szCs w:val="17"/>
              </w:rPr>
              <w:t xml:space="preserve">Model / Work</w:t>
            </w:r>
          </w:p>
        </w:tc>
        <w:tc>
          <w:tcPr>
            <w:tcW w:type="dxa" w:w="1800"/>
            <w:shd w:fill="D9E2F3" w:val="clear"/>
            <w:tcMar>
              <w:top w:type="dxa" w:w="70"/>
              <w:left w:type="dxa" w:w="100"/>
              <w:bottom w:type="dxa" w:w="70"/>
              <w:right w:type="dxa" w:w="100"/>
            </w:tcMar>
            <w:vAlign w:val="top"/>
          </w:tcPr>
          <w:p>
            <w:r>
              <w:rPr>
                <w:b/>
                <w:bCs/>
                <w:sz w:val="17"/>
                <w:szCs w:val="17"/>
              </w:rPr>
              <w:t xml:space="preserve">Core Approach</w:t>
            </w:r>
          </w:p>
        </w:tc>
        <w:tc>
          <w:tcPr>
            <w:tcW w:type="dxa" w:w="1980"/>
            <w:shd w:fill="D9E2F3" w:val="clear"/>
            <w:tcMar>
              <w:top w:type="dxa" w:w="70"/>
              <w:left w:type="dxa" w:w="100"/>
              <w:bottom w:type="dxa" w:w="70"/>
              <w:right w:type="dxa" w:w="100"/>
            </w:tcMar>
            <w:vAlign w:val="top"/>
          </w:tcPr>
          <w:p>
            <w:r>
              <w:rPr>
                <w:b/>
                <w:bCs/>
                <w:sz w:val="17"/>
                <w:szCs w:val="17"/>
              </w:rPr>
              <w:t xml:space="preserve">Main Purpose</w:t>
            </w:r>
          </w:p>
        </w:tc>
        <w:tc>
          <w:tcPr>
            <w:tcW w:type="dxa" w:w="1530"/>
            <w:shd w:fill="D9E2F3" w:val="clear"/>
            <w:tcMar>
              <w:top w:type="dxa" w:w="70"/>
              <w:left w:type="dxa" w:w="100"/>
              <w:bottom w:type="dxa" w:w="70"/>
              <w:right w:type="dxa" w:w="100"/>
            </w:tcMar>
            <w:vAlign w:val="top"/>
          </w:tcPr>
          <w:p>
            <w:r>
              <w:rPr>
                <w:b/>
                <w:bCs/>
                <w:sz w:val="17"/>
                <w:szCs w:val="17"/>
              </w:rPr>
              <w:t xml:space="preserve">Explainability</w:t>
            </w:r>
          </w:p>
        </w:tc>
        <w:tc>
          <w:tcPr>
            <w:tcW w:type="dxa" w:w="1710"/>
            <w:shd w:fill="D9E2F3" w:val="clear"/>
            <w:tcMar>
              <w:top w:type="dxa" w:w="70"/>
              <w:left w:type="dxa" w:w="100"/>
              <w:bottom w:type="dxa" w:w="70"/>
              <w:right w:type="dxa" w:w="100"/>
            </w:tcMar>
            <w:vAlign w:val="top"/>
          </w:tcPr>
          <w:p>
            <w:r>
              <w:rPr>
                <w:b/>
                <w:bCs/>
                <w:sz w:val="17"/>
                <w:szCs w:val="17"/>
              </w:rPr>
              <w:t xml:space="preserve">Image–Text / Report</w:t>
            </w:r>
          </w:p>
        </w:tc>
        <w:tc>
          <w:tcPr>
            <w:tcW w:type="dxa" w:w="1620"/>
            <w:shd w:fill="D9E2F3" w:val="clear"/>
            <w:tcMar>
              <w:top w:type="dxa" w:w="70"/>
              <w:left w:type="dxa" w:w="100"/>
              <w:bottom w:type="dxa" w:w="70"/>
              <w:right w:type="dxa" w:w="100"/>
            </w:tcMar>
            <w:vAlign w:val="top"/>
          </w:tcPr>
          <w:p>
            <w:r>
              <w:rPr>
                <w:b/>
                <w:bCs/>
                <w:sz w:val="17"/>
                <w:szCs w:val="17"/>
              </w:rPr>
              <w:t xml:space="preserve">Medical Knowledge</w:t>
            </w:r>
          </w:p>
        </w:tc>
        <w:tc>
          <w:tcPr>
            <w:tcW w:type="dxa" w:w="1710"/>
            <w:shd w:fill="D9E2F3" w:val="clear"/>
            <w:tcMar>
              <w:top w:type="dxa" w:w="70"/>
              <w:left w:type="dxa" w:w="100"/>
              <w:bottom w:type="dxa" w:w="70"/>
              <w:right w:type="dxa" w:w="100"/>
            </w:tcMar>
            <w:vAlign w:val="top"/>
          </w:tcPr>
          <w:p>
            <w:r>
              <w:rPr>
                <w:b/>
                <w:bCs/>
                <w:sz w:val="17"/>
                <w:szCs w:val="17"/>
              </w:rPr>
              <w:t xml:space="preserve">Dataset / Domain</w:t>
            </w:r>
          </w:p>
        </w:tc>
        <w:tc>
          <w:tcPr>
            <w:tcW w:type="dxa" w:w="2340"/>
            <w:shd w:fill="D9E2F3" w:val="clear"/>
            <w:tcMar>
              <w:top w:type="dxa" w:w="70"/>
              <w:left w:type="dxa" w:w="100"/>
              <w:bottom w:type="dxa" w:w="70"/>
              <w:right w:type="dxa" w:w="100"/>
            </w:tcMar>
            <w:vAlign w:val="top"/>
          </w:tcPr>
          <w:p>
            <w:r>
              <w:rPr>
                <w:b/>
                <w:bCs/>
                <w:sz w:val="17"/>
                <w:szCs w:val="17"/>
              </w:rPr>
              <w:t xml:space="preserve">Relation to Our Project</w:t>
            </w:r>
          </w:p>
        </w:tc>
      </w:tr>
      <w:tr>
        <w:tc>
          <w:tcPr>
            <w:tcW w:type="dxa" w:w="1350"/>
            <w:tcMar>
              <w:top w:type="dxa" w:w="70"/>
              <w:left w:type="dxa" w:w="100"/>
              <w:bottom w:type="dxa" w:w="70"/>
              <w:right w:type="dxa" w:w="100"/>
            </w:tcMar>
            <w:vAlign w:val="top"/>
          </w:tcPr>
          <w:p>
            <w:r>
              <w:rPr>
                <w:b w:val="false"/>
                <w:bCs w:val="false"/>
                <w:sz w:val="16"/>
                <w:szCs w:val="16"/>
              </w:rPr>
              <w:t xml:space="preserve">ResNet</w:t>
            </w:r>
          </w:p>
        </w:tc>
        <w:tc>
          <w:tcPr>
            <w:tcW w:type="dxa" w:w="1800"/>
            <w:tcMar>
              <w:top w:type="dxa" w:w="70"/>
              <w:left w:type="dxa" w:w="100"/>
              <w:bottom w:type="dxa" w:w="70"/>
              <w:right w:type="dxa" w:w="100"/>
            </w:tcMar>
            <w:vAlign w:val="top"/>
          </w:tcPr>
          <w:p>
            <w:r>
              <w:rPr>
                <w:b w:val="false"/>
                <w:bCs w:val="false"/>
                <w:sz w:val="16"/>
                <w:szCs w:val="16"/>
              </w:rPr>
              <w:t xml:space="preserve">Deep residual CNN</w:t>
            </w:r>
          </w:p>
        </w:tc>
        <w:tc>
          <w:tcPr>
            <w:tcW w:type="dxa" w:w="1980"/>
            <w:tcMar>
              <w:top w:type="dxa" w:w="70"/>
              <w:left w:type="dxa" w:w="100"/>
              <w:bottom w:type="dxa" w:w="70"/>
              <w:right w:type="dxa" w:w="100"/>
            </w:tcMar>
            <w:vAlign w:val="top"/>
          </w:tcPr>
          <w:p>
            <w:r>
              <w:rPr>
                <w:b w:val="false"/>
                <w:bCs w:val="false"/>
                <w:sz w:val="16"/>
                <w:szCs w:val="16"/>
              </w:rPr>
              <w:t xml:space="preserve">Image feature extraction and classification</w:t>
            </w:r>
          </w:p>
        </w:tc>
        <w:tc>
          <w:tcPr>
            <w:tcW w:type="dxa" w:w="1530"/>
            <w:tcMar>
              <w:top w:type="dxa" w:w="70"/>
              <w:left w:type="dxa" w:w="100"/>
              <w:bottom w:type="dxa" w:w="70"/>
              <w:right w:type="dxa" w:w="100"/>
            </w:tcMar>
            <w:vAlign w:val="top"/>
          </w:tcPr>
          <w:p>
            <w:r>
              <w:rPr>
                <w:b w:val="false"/>
                <w:bCs w:val="false"/>
                <w:sz w:val="16"/>
                <w:szCs w:val="16"/>
              </w:rPr>
              <w:t xml:space="preserve">Not built-in</w:t>
            </w:r>
          </w:p>
        </w:tc>
        <w:tc>
          <w:tcPr>
            <w:tcW w:type="dxa" w:w="1710"/>
            <w:tcMar>
              <w:top w:type="dxa" w:w="70"/>
              <w:left w:type="dxa" w:w="100"/>
              <w:bottom w:type="dxa" w:w="70"/>
              <w:right w:type="dxa" w:w="100"/>
            </w:tcMar>
            <w:vAlign w:val="top"/>
          </w:tcPr>
          <w:p>
            <w:r>
              <w:rPr>
                <w:b w:val="false"/>
                <w:bCs w:val="false"/>
                <w:sz w:val="16"/>
                <w:szCs w:val="16"/>
              </w:rPr>
              <w:t xml:space="preserve">—</w:t>
            </w:r>
          </w:p>
        </w:tc>
        <w:tc>
          <w:tcPr>
            <w:tcW w:type="dxa" w:w="1620"/>
            <w:tcMar>
              <w:top w:type="dxa" w:w="70"/>
              <w:left w:type="dxa" w:w="100"/>
              <w:bottom w:type="dxa" w:w="70"/>
              <w:right w:type="dxa" w:w="100"/>
            </w:tcMar>
            <w:vAlign w:val="top"/>
          </w:tcPr>
          <w:p>
            <w:r>
              <w:rPr>
                <w:b w:val="false"/>
                <w:bCs w:val="false"/>
                <w:sz w:val="16"/>
                <w:szCs w:val="16"/>
              </w:rPr>
              <w:t xml:space="preserve">—</w:t>
            </w:r>
          </w:p>
        </w:tc>
        <w:tc>
          <w:tcPr>
            <w:tcW w:type="dxa" w:w="1710"/>
            <w:tcMar>
              <w:top w:type="dxa" w:w="70"/>
              <w:left w:type="dxa" w:w="100"/>
              <w:bottom w:type="dxa" w:w="70"/>
              <w:right w:type="dxa" w:w="100"/>
            </w:tcMar>
            <w:vAlign w:val="top"/>
          </w:tcPr>
          <w:p>
            <w:r>
              <w:rPr>
                <w:b w:val="false"/>
                <w:bCs w:val="false"/>
                <w:sz w:val="16"/>
                <w:szCs w:val="16"/>
              </w:rPr>
              <w:t xml:space="preserve">General computer vision</w:t>
            </w:r>
          </w:p>
        </w:tc>
        <w:tc>
          <w:tcPr>
            <w:tcW w:type="dxa" w:w="2340"/>
            <w:tcMar>
              <w:top w:type="dxa" w:w="70"/>
              <w:left w:type="dxa" w:w="100"/>
              <w:bottom w:type="dxa" w:w="70"/>
              <w:right w:type="dxa" w:w="100"/>
            </w:tcMar>
            <w:vAlign w:val="top"/>
          </w:tcPr>
          <w:p>
            <w:r>
              <w:rPr>
                <w:b w:val="false"/>
                <w:bCs w:val="false"/>
                <w:sz w:val="16"/>
                <w:szCs w:val="16"/>
              </w:rPr>
              <w:t xml:space="preserve">Provides the CNN-based foundation for medical image classification.</w:t>
            </w:r>
          </w:p>
        </w:tc>
      </w:tr>
      <w:tr>
        <w:tc>
          <w:tcPr>
            <w:tcW w:type="dxa" w:w="1350"/>
            <w:tcMar>
              <w:top w:type="dxa" w:w="70"/>
              <w:left w:type="dxa" w:w="100"/>
              <w:bottom w:type="dxa" w:w="70"/>
              <w:right w:type="dxa" w:w="100"/>
            </w:tcMar>
            <w:vAlign w:val="top"/>
          </w:tcPr>
          <w:p>
            <w:r>
              <w:rPr>
                <w:b w:val="false"/>
                <w:bCs w:val="false"/>
                <w:sz w:val="16"/>
                <w:szCs w:val="16"/>
              </w:rPr>
              <w:t xml:space="preserve">DenseNet</w:t>
            </w:r>
          </w:p>
        </w:tc>
        <w:tc>
          <w:tcPr>
            <w:tcW w:type="dxa" w:w="1800"/>
            <w:tcMar>
              <w:top w:type="dxa" w:w="70"/>
              <w:left w:type="dxa" w:w="100"/>
              <w:bottom w:type="dxa" w:w="70"/>
              <w:right w:type="dxa" w:w="100"/>
            </w:tcMar>
            <w:vAlign w:val="top"/>
          </w:tcPr>
          <w:p>
            <w:r>
              <w:rPr>
                <w:b w:val="false"/>
                <w:bCs w:val="false"/>
                <w:sz w:val="16"/>
                <w:szCs w:val="16"/>
              </w:rPr>
              <w:t xml:space="preserve">Densely connected CNN</w:t>
            </w:r>
          </w:p>
        </w:tc>
        <w:tc>
          <w:tcPr>
            <w:tcW w:type="dxa" w:w="1980"/>
            <w:tcMar>
              <w:top w:type="dxa" w:w="70"/>
              <w:left w:type="dxa" w:w="100"/>
              <w:bottom w:type="dxa" w:w="70"/>
              <w:right w:type="dxa" w:w="100"/>
            </w:tcMar>
            <w:vAlign w:val="top"/>
          </w:tcPr>
          <w:p>
            <w:r>
              <w:rPr>
                <w:b w:val="false"/>
                <w:bCs w:val="false"/>
                <w:sz w:val="16"/>
                <w:szCs w:val="16"/>
              </w:rPr>
              <w:t xml:space="preserve">Feature extraction and disease classification</w:t>
            </w:r>
          </w:p>
        </w:tc>
        <w:tc>
          <w:tcPr>
            <w:tcW w:type="dxa" w:w="1530"/>
            <w:tcMar>
              <w:top w:type="dxa" w:w="70"/>
              <w:left w:type="dxa" w:w="100"/>
              <w:bottom w:type="dxa" w:w="70"/>
              <w:right w:type="dxa" w:w="100"/>
            </w:tcMar>
            <w:vAlign w:val="top"/>
          </w:tcPr>
          <w:p>
            <w:r>
              <w:rPr>
                <w:b w:val="false"/>
                <w:bCs w:val="false"/>
                <w:sz w:val="16"/>
                <w:szCs w:val="16"/>
              </w:rPr>
              <w:t xml:space="preserve">Not built-in</w:t>
            </w:r>
          </w:p>
        </w:tc>
        <w:tc>
          <w:tcPr>
            <w:tcW w:type="dxa" w:w="1710"/>
            <w:tcMar>
              <w:top w:type="dxa" w:w="70"/>
              <w:left w:type="dxa" w:w="100"/>
              <w:bottom w:type="dxa" w:w="70"/>
              <w:right w:type="dxa" w:w="100"/>
            </w:tcMar>
            <w:vAlign w:val="top"/>
          </w:tcPr>
          <w:p>
            <w:r>
              <w:rPr>
                <w:b w:val="false"/>
                <w:bCs w:val="false"/>
                <w:sz w:val="16"/>
                <w:szCs w:val="16"/>
              </w:rPr>
              <w:t xml:space="preserve">—</w:t>
            </w:r>
          </w:p>
        </w:tc>
        <w:tc>
          <w:tcPr>
            <w:tcW w:type="dxa" w:w="1620"/>
            <w:tcMar>
              <w:top w:type="dxa" w:w="70"/>
              <w:left w:type="dxa" w:w="100"/>
              <w:bottom w:type="dxa" w:w="70"/>
              <w:right w:type="dxa" w:w="100"/>
            </w:tcMar>
            <w:vAlign w:val="top"/>
          </w:tcPr>
          <w:p>
            <w:r>
              <w:rPr>
                <w:b w:val="false"/>
                <w:bCs w:val="false"/>
                <w:sz w:val="16"/>
                <w:szCs w:val="16"/>
              </w:rPr>
              <w:t xml:space="preserve">—</w:t>
            </w:r>
          </w:p>
        </w:tc>
        <w:tc>
          <w:tcPr>
            <w:tcW w:type="dxa" w:w="1710"/>
            <w:tcMar>
              <w:top w:type="dxa" w:w="70"/>
              <w:left w:type="dxa" w:w="100"/>
              <w:bottom w:type="dxa" w:w="70"/>
              <w:right w:type="dxa" w:w="100"/>
            </w:tcMar>
            <w:vAlign w:val="top"/>
          </w:tcPr>
          <w:p>
            <w:r>
              <w:rPr>
                <w:b w:val="false"/>
                <w:bCs w:val="false"/>
                <w:sz w:val="16"/>
                <w:szCs w:val="16"/>
              </w:rPr>
              <w:t xml:space="preserve">General + medical imaging</w:t>
            </w:r>
          </w:p>
        </w:tc>
        <w:tc>
          <w:tcPr>
            <w:tcW w:type="dxa" w:w="2340"/>
            <w:tcMar>
              <w:top w:type="dxa" w:w="70"/>
              <w:left w:type="dxa" w:w="100"/>
              <w:bottom w:type="dxa" w:w="70"/>
              <w:right w:type="dxa" w:w="100"/>
            </w:tcMar>
            <w:vAlign w:val="top"/>
          </w:tcPr>
          <w:p>
            <w:r>
              <w:rPr>
                <w:b w:val="false"/>
                <w:bCs w:val="false"/>
                <w:sz w:val="16"/>
                <w:szCs w:val="16"/>
              </w:rPr>
              <w:t xml:space="preserve">Used in our project as a CNN baseline for chest X-ray classification.</w:t>
            </w:r>
          </w:p>
        </w:tc>
      </w:tr>
      <w:tr>
        <w:tc>
          <w:tcPr>
            <w:tcW w:type="dxa" w:w="1350"/>
            <w:tcMar>
              <w:top w:type="dxa" w:w="70"/>
              <w:left w:type="dxa" w:w="100"/>
              <w:bottom w:type="dxa" w:w="70"/>
              <w:right w:type="dxa" w:w="100"/>
            </w:tcMar>
            <w:vAlign w:val="top"/>
          </w:tcPr>
          <w:p>
            <w:r>
              <w:rPr>
                <w:b w:val="false"/>
                <w:bCs w:val="false"/>
                <w:sz w:val="16"/>
                <w:szCs w:val="16"/>
              </w:rPr>
              <w:t xml:space="preserve">CheXNet</w:t>
            </w:r>
          </w:p>
        </w:tc>
        <w:tc>
          <w:tcPr>
            <w:tcW w:type="dxa" w:w="1800"/>
            <w:tcMar>
              <w:top w:type="dxa" w:w="70"/>
              <w:left w:type="dxa" w:w="100"/>
              <w:bottom w:type="dxa" w:w="70"/>
              <w:right w:type="dxa" w:w="100"/>
            </w:tcMar>
            <w:vAlign w:val="top"/>
          </w:tcPr>
          <w:p>
            <w:r>
              <w:rPr>
                <w:b w:val="false"/>
                <w:bCs w:val="false"/>
                <w:sz w:val="16"/>
                <w:szCs w:val="16"/>
              </w:rPr>
              <w:t xml:space="preserve">121-layer DenseNet</w:t>
            </w:r>
          </w:p>
        </w:tc>
        <w:tc>
          <w:tcPr>
            <w:tcW w:type="dxa" w:w="1980"/>
            <w:tcMar>
              <w:top w:type="dxa" w:w="70"/>
              <w:left w:type="dxa" w:w="100"/>
              <w:bottom w:type="dxa" w:w="70"/>
              <w:right w:type="dxa" w:w="100"/>
            </w:tcMar>
            <w:vAlign w:val="top"/>
          </w:tcPr>
          <w:p>
            <w:r>
              <w:rPr>
                <w:b w:val="false"/>
                <w:bCs w:val="false"/>
                <w:sz w:val="16"/>
                <w:szCs w:val="16"/>
              </w:rPr>
              <w:t xml:space="preserve">Chest X-ray disease detection</w:t>
            </w:r>
          </w:p>
        </w:tc>
        <w:tc>
          <w:tcPr>
            <w:tcW w:type="dxa" w:w="1530"/>
            <w:tcMar>
              <w:top w:type="dxa" w:w="70"/>
              <w:left w:type="dxa" w:w="100"/>
              <w:bottom w:type="dxa" w:w="70"/>
              <w:right w:type="dxa" w:w="100"/>
            </w:tcMar>
            <w:vAlign w:val="top"/>
          </w:tcPr>
          <w:p>
            <w:r>
              <w:rPr>
                <w:b w:val="false"/>
                <w:bCs w:val="false"/>
                <w:sz w:val="16"/>
                <w:szCs w:val="16"/>
              </w:rPr>
              <w:t xml:space="preserve">Can combine with Grad-CAM</w:t>
            </w:r>
          </w:p>
        </w:tc>
        <w:tc>
          <w:tcPr>
            <w:tcW w:type="dxa" w:w="1710"/>
            <w:tcMar>
              <w:top w:type="dxa" w:w="70"/>
              <w:left w:type="dxa" w:w="100"/>
              <w:bottom w:type="dxa" w:w="70"/>
              <w:right w:type="dxa" w:w="100"/>
            </w:tcMar>
            <w:vAlign w:val="top"/>
          </w:tcPr>
          <w:p>
            <w:r>
              <w:rPr>
                <w:b w:val="false"/>
                <w:bCs w:val="false"/>
                <w:sz w:val="16"/>
                <w:szCs w:val="16"/>
              </w:rPr>
              <w:t xml:space="preserve">—</w:t>
            </w:r>
          </w:p>
        </w:tc>
        <w:tc>
          <w:tcPr>
            <w:tcW w:type="dxa" w:w="1620"/>
            <w:tcMar>
              <w:top w:type="dxa" w:w="70"/>
              <w:left w:type="dxa" w:w="100"/>
              <w:bottom w:type="dxa" w:w="70"/>
              <w:right w:type="dxa" w:w="100"/>
            </w:tcMar>
            <w:vAlign w:val="top"/>
          </w:tcPr>
          <w:p>
            <w:r>
              <w:rPr>
                <w:b w:val="false"/>
                <w:bCs w:val="false"/>
                <w:sz w:val="16"/>
                <w:szCs w:val="16"/>
              </w:rPr>
              <w:t xml:space="preserve">Domain-specific via training data</w:t>
            </w:r>
          </w:p>
        </w:tc>
        <w:tc>
          <w:tcPr>
            <w:tcW w:type="dxa" w:w="1710"/>
            <w:tcMar>
              <w:top w:type="dxa" w:w="70"/>
              <w:left w:type="dxa" w:w="100"/>
              <w:bottom w:type="dxa" w:w="70"/>
              <w:right w:type="dxa" w:w="100"/>
            </w:tcMar>
            <w:vAlign w:val="top"/>
          </w:tcPr>
          <w:p>
            <w:r>
              <w:rPr>
                <w:b w:val="false"/>
                <w:bCs w:val="false"/>
                <w:sz w:val="16"/>
                <w:szCs w:val="16"/>
              </w:rPr>
              <w:t xml:space="preserve">ChestX-ray14</w:t>
            </w:r>
          </w:p>
        </w:tc>
        <w:tc>
          <w:tcPr>
            <w:tcW w:type="dxa" w:w="2340"/>
            <w:tcMar>
              <w:top w:type="dxa" w:w="70"/>
              <w:left w:type="dxa" w:w="100"/>
              <w:bottom w:type="dxa" w:w="70"/>
              <w:right w:type="dxa" w:w="100"/>
            </w:tcMar>
            <w:vAlign w:val="top"/>
          </w:tcPr>
          <w:p>
            <w:r>
              <w:rPr>
                <w:b w:val="false"/>
                <w:bCs w:val="false"/>
                <w:sz w:val="16"/>
                <w:szCs w:val="16"/>
              </w:rPr>
              <w:t xml:space="preserve">Demonstrates strong CNN-based diagnosis; our system extends this toward explanation and evidence.</w:t>
            </w:r>
          </w:p>
        </w:tc>
      </w:tr>
      <w:tr>
        <w:tc>
          <w:tcPr>
            <w:tcW w:type="dxa" w:w="1350"/>
            <w:tcMar>
              <w:top w:type="dxa" w:w="70"/>
              <w:left w:type="dxa" w:w="100"/>
              <w:bottom w:type="dxa" w:w="70"/>
              <w:right w:type="dxa" w:w="100"/>
            </w:tcMar>
            <w:vAlign w:val="top"/>
          </w:tcPr>
          <w:p>
            <w:r>
              <w:rPr>
                <w:b w:val="false"/>
                <w:bCs w:val="false"/>
                <w:sz w:val="16"/>
                <w:szCs w:val="16"/>
              </w:rPr>
              <w:t xml:space="preserve">Grad-CAM</w:t>
            </w:r>
          </w:p>
        </w:tc>
        <w:tc>
          <w:tcPr>
            <w:tcW w:type="dxa" w:w="1800"/>
            <w:tcMar>
              <w:top w:type="dxa" w:w="70"/>
              <w:left w:type="dxa" w:w="100"/>
              <w:bottom w:type="dxa" w:w="70"/>
              <w:right w:type="dxa" w:w="100"/>
            </w:tcMar>
            <w:vAlign w:val="top"/>
          </w:tcPr>
          <w:p>
            <w:r>
              <w:rPr>
                <w:b w:val="false"/>
                <w:bCs w:val="false"/>
                <w:sz w:val="16"/>
                <w:szCs w:val="16"/>
              </w:rPr>
              <w:t xml:space="preserve">Gradient-based localization</w:t>
            </w:r>
          </w:p>
        </w:tc>
        <w:tc>
          <w:tcPr>
            <w:tcW w:type="dxa" w:w="1980"/>
            <w:tcMar>
              <w:top w:type="dxa" w:w="70"/>
              <w:left w:type="dxa" w:w="100"/>
              <w:bottom w:type="dxa" w:w="70"/>
              <w:right w:type="dxa" w:w="100"/>
            </w:tcMar>
            <w:vAlign w:val="top"/>
          </w:tcPr>
          <w:p>
            <w:r>
              <w:rPr>
                <w:b w:val="false"/>
                <w:bCs w:val="false"/>
                <w:sz w:val="16"/>
                <w:szCs w:val="16"/>
              </w:rPr>
              <w:t xml:space="preserve">Highlight regions influencing prediction</w:t>
            </w:r>
          </w:p>
        </w:tc>
        <w:tc>
          <w:tcPr>
            <w:tcW w:type="dxa" w:w="1530"/>
            <w:tcMar>
              <w:top w:type="dxa" w:w="70"/>
              <w:left w:type="dxa" w:w="100"/>
              <w:bottom w:type="dxa" w:w="70"/>
              <w:right w:type="dxa" w:w="100"/>
            </w:tcMar>
            <w:vAlign w:val="top"/>
          </w:tcPr>
          <w:p>
            <w:r>
              <w:rPr>
                <w:b w:val="false"/>
                <w:bCs w:val="false"/>
                <w:sz w:val="16"/>
                <w:szCs w:val="16"/>
              </w:rPr>
              <w:t xml:space="preserve">Yes</w:t>
            </w:r>
          </w:p>
        </w:tc>
        <w:tc>
          <w:tcPr>
            <w:tcW w:type="dxa" w:w="1710"/>
            <w:tcMar>
              <w:top w:type="dxa" w:w="70"/>
              <w:left w:type="dxa" w:w="100"/>
              <w:bottom w:type="dxa" w:w="70"/>
              <w:right w:type="dxa" w:w="100"/>
            </w:tcMar>
            <w:vAlign w:val="top"/>
          </w:tcPr>
          <w:p>
            <w:r>
              <w:rPr>
                <w:b w:val="false"/>
                <w:bCs w:val="false"/>
                <w:sz w:val="16"/>
                <w:szCs w:val="16"/>
              </w:rPr>
              <w:t xml:space="preserve">—</w:t>
            </w:r>
          </w:p>
        </w:tc>
        <w:tc>
          <w:tcPr>
            <w:tcW w:type="dxa" w:w="1620"/>
            <w:tcMar>
              <w:top w:type="dxa" w:w="70"/>
              <w:left w:type="dxa" w:w="100"/>
              <w:bottom w:type="dxa" w:w="70"/>
              <w:right w:type="dxa" w:w="100"/>
            </w:tcMar>
            <w:vAlign w:val="top"/>
          </w:tcPr>
          <w:p>
            <w:r>
              <w:rPr>
                <w:b w:val="false"/>
                <w:bCs w:val="false"/>
                <w:sz w:val="16"/>
                <w:szCs w:val="16"/>
              </w:rPr>
              <w:t xml:space="preserve">—</w:t>
            </w:r>
          </w:p>
        </w:tc>
        <w:tc>
          <w:tcPr>
            <w:tcW w:type="dxa" w:w="1710"/>
            <w:tcMar>
              <w:top w:type="dxa" w:w="70"/>
              <w:left w:type="dxa" w:w="100"/>
              <w:bottom w:type="dxa" w:w="70"/>
              <w:right w:type="dxa" w:w="100"/>
            </w:tcMar>
            <w:vAlign w:val="top"/>
          </w:tcPr>
          <w:p>
            <w:r>
              <w:rPr>
                <w:b w:val="false"/>
                <w:bCs w:val="false"/>
                <w:sz w:val="16"/>
                <w:szCs w:val="16"/>
              </w:rPr>
              <w:t xml:space="preserve">CNN-based models</w:t>
            </w:r>
          </w:p>
        </w:tc>
        <w:tc>
          <w:tcPr>
            <w:tcW w:type="dxa" w:w="2340"/>
            <w:tcMar>
              <w:top w:type="dxa" w:w="70"/>
              <w:left w:type="dxa" w:w="100"/>
              <w:bottom w:type="dxa" w:w="70"/>
              <w:right w:type="dxa" w:w="100"/>
            </w:tcMar>
            <w:vAlign w:val="top"/>
          </w:tcPr>
          <w:p>
            <w:r>
              <w:rPr>
                <w:b w:val="false"/>
                <w:bCs w:val="false"/>
                <w:sz w:val="16"/>
                <w:szCs w:val="16"/>
              </w:rPr>
              <w:t xml:space="preserve">Reference for explainability; we use attention-based localization for our ViT model instead.</w:t>
            </w:r>
          </w:p>
        </w:tc>
      </w:tr>
      <w:tr>
        <w:tc>
          <w:tcPr>
            <w:tcW w:type="dxa" w:w="1350"/>
            <w:tcMar>
              <w:top w:type="dxa" w:w="70"/>
              <w:left w:type="dxa" w:w="100"/>
              <w:bottom w:type="dxa" w:w="70"/>
              <w:right w:type="dxa" w:w="100"/>
            </w:tcMar>
            <w:vAlign w:val="top"/>
          </w:tcPr>
          <w:p>
            <w:r>
              <w:rPr>
                <w:b w:val="false"/>
                <w:bCs w:val="false"/>
                <w:sz w:val="16"/>
                <w:szCs w:val="16"/>
              </w:rPr>
              <w:t xml:space="preserve">Saliency Maps</w:t>
            </w:r>
          </w:p>
        </w:tc>
        <w:tc>
          <w:tcPr>
            <w:tcW w:type="dxa" w:w="1800"/>
            <w:tcMar>
              <w:top w:type="dxa" w:w="70"/>
              <w:left w:type="dxa" w:w="100"/>
              <w:bottom w:type="dxa" w:w="70"/>
              <w:right w:type="dxa" w:w="100"/>
            </w:tcMar>
            <w:vAlign w:val="top"/>
          </w:tcPr>
          <w:p>
            <w:r>
              <w:rPr>
                <w:b w:val="false"/>
                <w:bCs w:val="false"/>
                <w:sz w:val="16"/>
                <w:szCs w:val="16"/>
              </w:rPr>
              <w:t xml:space="preserve">Pixel/feature importance</w:t>
            </w:r>
          </w:p>
        </w:tc>
        <w:tc>
          <w:tcPr>
            <w:tcW w:type="dxa" w:w="1980"/>
            <w:tcMar>
              <w:top w:type="dxa" w:w="70"/>
              <w:left w:type="dxa" w:w="100"/>
              <w:bottom w:type="dxa" w:w="70"/>
              <w:right w:type="dxa" w:w="100"/>
            </w:tcMar>
            <w:vAlign w:val="top"/>
          </w:tcPr>
          <w:p>
            <w:r>
              <w:rPr>
                <w:b w:val="false"/>
                <w:bCs w:val="false"/>
                <w:sz w:val="16"/>
                <w:szCs w:val="16"/>
              </w:rPr>
              <w:t xml:space="preserve">Visual explanation</w:t>
            </w:r>
          </w:p>
        </w:tc>
        <w:tc>
          <w:tcPr>
            <w:tcW w:type="dxa" w:w="1530"/>
            <w:tcMar>
              <w:top w:type="dxa" w:w="70"/>
              <w:left w:type="dxa" w:w="100"/>
              <w:bottom w:type="dxa" w:w="70"/>
              <w:right w:type="dxa" w:w="100"/>
            </w:tcMar>
            <w:vAlign w:val="top"/>
          </w:tcPr>
          <w:p>
            <w:r>
              <w:rPr>
                <w:b w:val="false"/>
                <w:bCs w:val="false"/>
                <w:sz w:val="16"/>
                <w:szCs w:val="16"/>
              </w:rPr>
              <w:t xml:space="preserve">Yes</w:t>
            </w:r>
          </w:p>
        </w:tc>
        <w:tc>
          <w:tcPr>
            <w:tcW w:type="dxa" w:w="1710"/>
            <w:tcMar>
              <w:top w:type="dxa" w:w="70"/>
              <w:left w:type="dxa" w:w="100"/>
              <w:bottom w:type="dxa" w:w="70"/>
              <w:right w:type="dxa" w:w="100"/>
            </w:tcMar>
            <w:vAlign w:val="top"/>
          </w:tcPr>
          <w:p>
            <w:r>
              <w:rPr>
                <w:b w:val="false"/>
                <w:bCs w:val="false"/>
                <w:sz w:val="16"/>
                <w:szCs w:val="16"/>
              </w:rPr>
              <w:t xml:space="preserve">—</w:t>
            </w:r>
          </w:p>
        </w:tc>
        <w:tc>
          <w:tcPr>
            <w:tcW w:type="dxa" w:w="1620"/>
            <w:tcMar>
              <w:top w:type="dxa" w:w="70"/>
              <w:left w:type="dxa" w:w="100"/>
              <w:bottom w:type="dxa" w:w="70"/>
              <w:right w:type="dxa" w:w="100"/>
            </w:tcMar>
            <w:vAlign w:val="top"/>
          </w:tcPr>
          <w:p>
            <w:r>
              <w:rPr>
                <w:b w:val="false"/>
                <w:bCs w:val="false"/>
                <w:sz w:val="16"/>
                <w:szCs w:val="16"/>
              </w:rPr>
              <w:t xml:space="preserve">—</w:t>
            </w:r>
          </w:p>
        </w:tc>
        <w:tc>
          <w:tcPr>
            <w:tcW w:type="dxa" w:w="1710"/>
            <w:tcMar>
              <w:top w:type="dxa" w:w="70"/>
              <w:left w:type="dxa" w:w="100"/>
              <w:bottom w:type="dxa" w:w="70"/>
              <w:right w:type="dxa" w:w="100"/>
            </w:tcMar>
            <w:vAlign w:val="top"/>
          </w:tcPr>
          <w:p>
            <w:r>
              <w:rPr>
                <w:b w:val="false"/>
                <w:bCs w:val="false"/>
                <w:sz w:val="16"/>
                <w:szCs w:val="16"/>
              </w:rPr>
              <w:t xml:space="preserve">General / medical imaging</w:t>
            </w:r>
          </w:p>
        </w:tc>
        <w:tc>
          <w:tcPr>
            <w:tcW w:type="dxa" w:w="2340"/>
            <w:tcMar>
              <w:top w:type="dxa" w:w="70"/>
              <w:left w:type="dxa" w:w="100"/>
              <w:bottom w:type="dxa" w:w="70"/>
              <w:right w:type="dxa" w:w="100"/>
            </w:tcMar>
            <w:vAlign w:val="top"/>
          </w:tcPr>
          <w:p>
            <w:r>
              <w:rPr>
                <w:b w:val="false"/>
                <w:bCs w:val="false"/>
                <w:sz w:val="16"/>
                <w:szCs w:val="16"/>
              </w:rPr>
              <w:t xml:space="preserve">Provides visual evidence but as a separate component, not a full diagnostic pipeline.</w:t>
            </w:r>
          </w:p>
        </w:tc>
      </w:tr>
      <w:tr>
        <w:tc>
          <w:tcPr>
            <w:tcW w:type="dxa" w:w="1350"/>
            <w:tcMar>
              <w:top w:type="dxa" w:w="70"/>
              <w:left w:type="dxa" w:w="100"/>
              <w:bottom w:type="dxa" w:w="70"/>
              <w:right w:type="dxa" w:w="100"/>
            </w:tcMar>
            <w:vAlign w:val="top"/>
          </w:tcPr>
          <w:p>
            <w:r>
              <w:rPr>
                <w:b w:val="false"/>
                <w:bCs w:val="false"/>
                <w:sz w:val="16"/>
                <w:szCs w:val="16"/>
              </w:rPr>
              <w:t xml:space="preserve">ConVIRT</w:t>
            </w:r>
          </w:p>
        </w:tc>
        <w:tc>
          <w:tcPr>
            <w:tcW w:type="dxa" w:w="1800"/>
            <w:tcMar>
              <w:top w:type="dxa" w:w="70"/>
              <w:left w:type="dxa" w:w="100"/>
              <w:bottom w:type="dxa" w:w="70"/>
              <w:right w:type="dxa" w:w="100"/>
            </w:tcMar>
            <w:vAlign w:val="top"/>
          </w:tcPr>
          <w:p>
            <w:r>
              <w:rPr>
                <w:b w:val="false"/>
                <w:bCs w:val="false"/>
                <w:sz w:val="16"/>
                <w:szCs w:val="16"/>
              </w:rPr>
              <w:t xml:space="preserve">Contrastive image-text learning</w:t>
            </w:r>
          </w:p>
        </w:tc>
        <w:tc>
          <w:tcPr>
            <w:tcW w:type="dxa" w:w="1980"/>
            <w:tcMar>
              <w:top w:type="dxa" w:w="70"/>
              <w:left w:type="dxa" w:w="100"/>
              <w:bottom w:type="dxa" w:w="70"/>
              <w:right w:type="dxa" w:w="100"/>
            </w:tcMar>
            <w:vAlign w:val="top"/>
          </w:tcPr>
          <w:p>
            <w:r>
              <w:rPr>
                <w:b w:val="false"/>
                <w:bCs w:val="false"/>
                <w:sz w:val="16"/>
                <w:szCs w:val="16"/>
              </w:rPr>
              <w:t xml:space="preserve">Joint image/text representations</w:t>
            </w:r>
          </w:p>
        </w:tc>
        <w:tc>
          <w:tcPr>
            <w:tcW w:type="dxa" w:w="1530"/>
            <w:tcMar>
              <w:top w:type="dxa" w:w="70"/>
              <w:left w:type="dxa" w:w="100"/>
              <w:bottom w:type="dxa" w:w="70"/>
              <w:right w:type="dxa" w:w="100"/>
            </w:tcMar>
            <w:vAlign w:val="top"/>
          </w:tcPr>
          <w:p>
            <w:r>
              <w:rPr>
                <w:b w:val="false"/>
                <w:bCs w:val="false"/>
                <w:sz w:val="16"/>
                <w:szCs w:val="16"/>
              </w:rPr>
              <w:t xml:space="preserve">Limited</w:t>
            </w:r>
          </w:p>
        </w:tc>
        <w:tc>
          <w:tcPr>
            <w:tcW w:type="dxa" w:w="1710"/>
            <w:tcMar>
              <w:top w:type="dxa" w:w="70"/>
              <w:left w:type="dxa" w:w="100"/>
              <w:bottom w:type="dxa" w:w="70"/>
              <w:right w:type="dxa" w:w="100"/>
            </w:tcMar>
            <w:vAlign w:val="top"/>
          </w:tcPr>
          <w:p>
            <w:r>
              <w:rPr>
                <w:b w:val="false"/>
                <w:bCs w:val="false"/>
                <w:sz w:val="16"/>
                <w:szCs w:val="16"/>
              </w:rPr>
              <w:t xml:space="preserve">Paired image + report</w:t>
            </w:r>
          </w:p>
        </w:tc>
        <w:tc>
          <w:tcPr>
            <w:tcW w:type="dxa" w:w="1620"/>
            <w:tcMar>
              <w:top w:type="dxa" w:w="70"/>
              <w:left w:type="dxa" w:w="100"/>
              <w:bottom w:type="dxa" w:w="70"/>
              <w:right w:type="dxa" w:w="100"/>
            </w:tcMar>
            <w:vAlign w:val="top"/>
          </w:tcPr>
          <w:p>
            <w:r>
              <w:rPr>
                <w:b w:val="false"/>
                <w:bCs w:val="false"/>
                <w:sz w:val="16"/>
                <w:szCs w:val="16"/>
              </w:rPr>
              <w:t xml:space="preserve">Implicit, from text</w:t>
            </w:r>
          </w:p>
        </w:tc>
        <w:tc>
          <w:tcPr>
            <w:tcW w:type="dxa" w:w="1710"/>
            <w:tcMar>
              <w:top w:type="dxa" w:w="70"/>
              <w:left w:type="dxa" w:w="100"/>
              <w:bottom w:type="dxa" w:w="70"/>
              <w:right w:type="dxa" w:w="100"/>
            </w:tcMar>
            <w:vAlign w:val="top"/>
          </w:tcPr>
          <w:p>
            <w:r>
              <w:rPr>
                <w:b w:val="false"/>
                <w:bCs w:val="false"/>
                <w:sz w:val="16"/>
                <w:szCs w:val="16"/>
              </w:rPr>
              <w:t xml:space="preserve">MIMIC-CXR</w:t>
            </w:r>
          </w:p>
        </w:tc>
        <w:tc>
          <w:tcPr>
            <w:tcW w:type="dxa" w:w="2340"/>
            <w:tcMar>
              <w:top w:type="dxa" w:w="70"/>
              <w:left w:type="dxa" w:w="100"/>
              <w:bottom w:type="dxa" w:w="70"/>
              <w:right w:type="dxa" w:w="100"/>
            </w:tcMar>
            <w:vAlign w:val="top"/>
          </w:tcPr>
          <w:p>
            <w:r>
              <w:rPr>
                <w:b w:val="false"/>
                <w:bCs w:val="false"/>
                <w:sz w:val="16"/>
                <w:szCs w:val="16"/>
              </w:rPr>
              <w:t xml:space="preserve">Represents the image-text direction that inspired our multimodal design.</w:t>
            </w:r>
          </w:p>
        </w:tc>
      </w:tr>
      <w:tr>
        <w:tc>
          <w:tcPr>
            <w:tcW w:type="dxa" w:w="1350"/>
            <w:tcMar>
              <w:top w:type="dxa" w:w="70"/>
              <w:left w:type="dxa" w:w="100"/>
              <w:bottom w:type="dxa" w:w="70"/>
              <w:right w:type="dxa" w:w="100"/>
            </w:tcMar>
            <w:vAlign w:val="top"/>
          </w:tcPr>
          <w:p>
            <w:r>
              <w:rPr>
                <w:b w:val="false"/>
                <w:bCs w:val="false"/>
                <w:sz w:val="16"/>
                <w:szCs w:val="16"/>
              </w:rPr>
              <w:t xml:space="preserve">GLoRIA</w:t>
            </w:r>
          </w:p>
        </w:tc>
        <w:tc>
          <w:tcPr>
            <w:tcW w:type="dxa" w:w="1800"/>
            <w:tcMar>
              <w:top w:type="dxa" w:w="70"/>
              <w:left w:type="dxa" w:w="100"/>
              <w:bottom w:type="dxa" w:w="70"/>
              <w:right w:type="dxa" w:w="100"/>
            </w:tcMar>
            <w:vAlign w:val="top"/>
          </w:tcPr>
          <w:p>
            <w:r>
              <w:rPr>
                <w:b w:val="false"/>
                <w:bCs w:val="false"/>
                <w:sz w:val="16"/>
                <w:szCs w:val="16"/>
              </w:rPr>
              <w:t xml:space="preserve">Global + local image-text learning</w:t>
            </w:r>
          </w:p>
        </w:tc>
        <w:tc>
          <w:tcPr>
            <w:tcW w:type="dxa" w:w="1980"/>
            <w:tcMar>
              <w:top w:type="dxa" w:w="70"/>
              <w:left w:type="dxa" w:w="100"/>
              <w:bottom w:type="dxa" w:w="70"/>
              <w:right w:type="dxa" w:w="100"/>
            </w:tcMar>
            <w:vAlign w:val="top"/>
          </w:tcPr>
          <w:p>
            <w:r>
              <w:rPr>
                <w:b w:val="false"/>
                <w:bCs w:val="false"/>
                <w:sz w:val="16"/>
                <w:szCs w:val="16"/>
              </w:rPr>
              <w:t xml:space="preserve">Medical image-text alignment</w:t>
            </w:r>
          </w:p>
        </w:tc>
        <w:tc>
          <w:tcPr>
            <w:tcW w:type="dxa" w:w="1530"/>
            <w:tcMar>
              <w:top w:type="dxa" w:w="70"/>
              <w:left w:type="dxa" w:w="100"/>
              <w:bottom w:type="dxa" w:w="70"/>
              <w:right w:type="dxa" w:w="100"/>
            </w:tcMar>
            <w:vAlign w:val="top"/>
          </w:tcPr>
          <w:p>
            <w:r>
              <w:rPr>
                <w:b w:val="false"/>
                <w:bCs w:val="false"/>
                <w:sz w:val="16"/>
                <w:szCs w:val="16"/>
              </w:rPr>
              <w:t xml:space="preserve">Limited</w:t>
            </w:r>
          </w:p>
        </w:tc>
        <w:tc>
          <w:tcPr>
            <w:tcW w:type="dxa" w:w="1710"/>
            <w:tcMar>
              <w:top w:type="dxa" w:w="70"/>
              <w:left w:type="dxa" w:w="100"/>
              <w:bottom w:type="dxa" w:w="70"/>
              <w:right w:type="dxa" w:w="100"/>
            </w:tcMar>
            <w:vAlign w:val="top"/>
          </w:tcPr>
          <w:p>
            <w:r>
              <w:rPr>
                <w:b w:val="false"/>
                <w:bCs w:val="false"/>
                <w:sz w:val="16"/>
                <w:szCs w:val="16"/>
              </w:rPr>
              <w:t xml:space="preserve">Image + text</w:t>
            </w:r>
          </w:p>
        </w:tc>
        <w:tc>
          <w:tcPr>
            <w:tcW w:type="dxa" w:w="1620"/>
            <w:tcMar>
              <w:top w:type="dxa" w:w="70"/>
              <w:left w:type="dxa" w:w="100"/>
              <w:bottom w:type="dxa" w:w="70"/>
              <w:right w:type="dxa" w:w="100"/>
            </w:tcMar>
            <w:vAlign w:val="top"/>
          </w:tcPr>
          <w:p>
            <w:r>
              <w:rPr>
                <w:b w:val="false"/>
                <w:bCs w:val="false"/>
                <w:sz w:val="16"/>
                <w:szCs w:val="16"/>
              </w:rPr>
              <w:t xml:space="preserve">Medical report info</w:t>
            </w:r>
          </w:p>
        </w:tc>
        <w:tc>
          <w:tcPr>
            <w:tcW w:type="dxa" w:w="1710"/>
            <w:tcMar>
              <w:top w:type="dxa" w:w="70"/>
              <w:left w:type="dxa" w:w="100"/>
              <w:bottom w:type="dxa" w:w="70"/>
              <w:right w:type="dxa" w:w="100"/>
            </w:tcMar>
            <w:vAlign w:val="top"/>
          </w:tcPr>
          <w:p>
            <w:r>
              <w:rPr>
                <w:b w:val="false"/>
                <w:bCs w:val="false"/>
                <w:sz w:val="16"/>
                <w:szCs w:val="16"/>
              </w:rPr>
              <w:t xml:space="preserve">CheXpert</w:t>
            </w:r>
          </w:p>
        </w:tc>
        <w:tc>
          <w:tcPr>
            <w:tcW w:type="dxa" w:w="2340"/>
            <w:tcMar>
              <w:top w:type="dxa" w:w="70"/>
              <w:left w:type="dxa" w:w="100"/>
              <w:bottom w:type="dxa" w:w="70"/>
              <w:right w:type="dxa" w:w="100"/>
            </w:tcMar>
            <w:vAlign w:val="top"/>
          </w:tcPr>
          <w:p>
            <w:r>
              <w:rPr>
                <w:b w:val="false"/>
                <w:bCs w:val="false"/>
                <w:sz w:val="16"/>
                <w:szCs w:val="16"/>
              </w:rPr>
              <w:t xml:space="preserve">Goes beyond classification by aligning global and local visual features with reports.</w:t>
            </w:r>
          </w:p>
        </w:tc>
      </w:tr>
      <w:tr>
        <w:tc>
          <w:tcPr>
            <w:tcW w:type="dxa" w:w="1350"/>
            <w:tcMar>
              <w:top w:type="dxa" w:w="70"/>
              <w:left w:type="dxa" w:w="100"/>
              <w:bottom w:type="dxa" w:w="70"/>
              <w:right w:type="dxa" w:w="100"/>
            </w:tcMar>
            <w:vAlign w:val="top"/>
          </w:tcPr>
          <w:p>
            <w:r>
              <w:rPr>
                <w:b w:val="false"/>
                <w:bCs w:val="false"/>
                <w:sz w:val="16"/>
                <w:szCs w:val="16"/>
              </w:rPr>
              <w:t xml:space="preserve">MedCLIP</w:t>
            </w:r>
          </w:p>
        </w:tc>
        <w:tc>
          <w:tcPr>
            <w:tcW w:type="dxa" w:w="1800"/>
            <w:tcMar>
              <w:top w:type="dxa" w:w="70"/>
              <w:left w:type="dxa" w:w="100"/>
              <w:bottom w:type="dxa" w:w="70"/>
              <w:right w:type="dxa" w:w="100"/>
            </w:tcMar>
            <w:vAlign w:val="top"/>
          </w:tcPr>
          <w:p>
            <w:r>
              <w:rPr>
                <w:b w:val="false"/>
                <w:bCs w:val="false"/>
                <w:sz w:val="16"/>
                <w:szCs w:val="16"/>
              </w:rPr>
              <w:t xml:space="preserve">Medical contrastive learning</w:t>
            </w:r>
          </w:p>
        </w:tc>
        <w:tc>
          <w:tcPr>
            <w:tcW w:type="dxa" w:w="1980"/>
            <w:tcMar>
              <w:top w:type="dxa" w:w="70"/>
              <w:left w:type="dxa" w:w="100"/>
              <w:bottom w:type="dxa" w:w="70"/>
              <w:right w:type="dxa" w:w="100"/>
            </w:tcMar>
            <w:vAlign w:val="top"/>
          </w:tcPr>
          <w:p>
            <w:r>
              <w:rPr>
                <w:b w:val="false"/>
                <w:bCs w:val="false"/>
                <w:sz w:val="16"/>
                <w:szCs w:val="16"/>
              </w:rPr>
              <w:t xml:space="preserve">Zero-shot classification &amp; retrieval</w:t>
            </w:r>
          </w:p>
        </w:tc>
        <w:tc>
          <w:tcPr>
            <w:tcW w:type="dxa" w:w="1530"/>
            <w:tcMar>
              <w:top w:type="dxa" w:w="70"/>
              <w:left w:type="dxa" w:w="100"/>
              <w:bottom w:type="dxa" w:w="70"/>
              <w:right w:type="dxa" w:w="100"/>
            </w:tcMar>
            <w:vAlign w:val="top"/>
          </w:tcPr>
          <w:p>
            <w:r>
              <w:rPr>
                <w:b w:val="false"/>
                <w:bCs w:val="false"/>
                <w:sz w:val="16"/>
                <w:szCs w:val="16"/>
              </w:rPr>
              <w:t xml:space="preserve">Limited</w:t>
            </w:r>
          </w:p>
        </w:tc>
        <w:tc>
          <w:tcPr>
            <w:tcW w:type="dxa" w:w="1710"/>
            <w:tcMar>
              <w:top w:type="dxa" w:w="70"/>
              <w:left w:type="dxa" w:w="100"/>
              <w:bottom w:type="dxa" w:w="70"/>
              <w:right w:type="dxa" w:w="100"/>
            </w:tcMar>
            <w:vAlign w:val="top"/>
          </w:tcPr>
          <w:p>
            <w:r>
              <w:rPr>
                <w:b w:val="false"/>
                <w:bCs w:val="false"/>
                <w:sz w:val="16"/>
                <w:szCs w:val="16"/>
              </w:rPr>
              <w:t xml:space="preserve">Unpaired image + text</w:t>
            </w:r>
          </w:p>
        </w:tc>
        <w:tc>
          <w:tcPr>
            <w:tcW w:type="dxa" w:w="1620"/>
            <w:tcMar>
              <w:top w:type="dxa" w:w="70"/>
              <w:left w:type="dxa" w:w="100"/>
              <w:bottom w:type="dxa" w:w="70"/>
              <w:right w:type="dxa" w:w="100"/>
            </w:tcMar>
            <w:vAlign w:val="top"/>
          </w:tcPr>
          <w:p>
            <w:r>
              <w:rPr>
                <w:b w:val="false"/>
                <w:bCs w:val="false"/>
                <w:sz w:val="16"/>
                <w:szCs w:val="16"/>
              </w:rPr>
              <w:t xml:space="preserve">Medical semantic knowledge</w:t>
            </w:r>
          </w:p>
        </w:tc>
        <w:tc>
          <w:tcPr>
            <w:tcW w:type="dxa" w:w="1710"/>
            <w:tcMar>
              <w:top w:type="dxa" w:w="70"/>
              <w:left w:type="dxa" w:w="100"/>
              <w:bottom w:type="dxa" w:w="70"/>
              <w:right w:type="dxa" w:w="100"/>
            </w:tcMar>
            <w:vAlign w:val="top"/>
          </w:tcPr>
          <w:p>
            <w:r>
              <w:rPr>
                <w:b w:val="false"/>
                <w:bCs w:val="false"/>
                <w:sz w:val="16"/>
                <w:szCs w:val="16"/>
              </w:rPr>
              <w:t xml:space="preserve">Medical X-ray datasets</w:t>
            </w:r>
          </w:p>
        </w:tc>
        <w:tc>
          <w:tcPr>
            <w:tcW w:type="dxa" w:w="2340"/>
            <w:tcMar>
              <w:top w:type="dxa" w:w="70"/>
              <w:left w:type="dxa" w:w="100"/>
              <w:bottom w:type="dxa" w:w="70"/>
              <w:right w:type="dxa" w:w="100"/>
            </w:tcMar>
            <w:vAlign w:val="top"/>
          </w:tcPr>
          <w:p>
            <w:r>
              <w:rPr>
                <w:b w:val="false"/>
                <w:bCs w:val="false"/>
                <w:sz w:val="16"/>
                <w:szCs w:val="16"/>
              </w:rPr>
              <w:t xml:space="preserve">Shows medical image-text learning works with far less pretraining data.</w:t>
            </w:r>
          </w:p>
        </w:tc>
      </w:tr>
      <w:tr>
        <w:tc>
          <w:tcPr>
            <w:tcW w:type="dxa" w:w="1350"/>
            <w:tcMar>
              <w:top w:type="dxa" w:w="70"/>
              <w:left w:type="dxa" w:w="100"/>
              <w:bottom w:type="dxa" w:w="70"/>
              <w:right w:type="dxa" w:w="100"/>
            </w:tcMar>
            <w:vAlign w:val="top"/>
          </w:tcPr>
          <w:p>
            <w:r>
              <w:rPr>
                <w:b w:val="false"/>
                <w:bCs w:val="false"/>
                <w:sz w:val="16"/>
                <w:szCs w:val="16"/>
              </w:rPr>
              <w:t xml:space="preserve">MedKLIP</w:t>
            </w:r>
          </w:p>
        </w:tc>
        <w:tc>
          <w:tcPr>
            <w:tcW w:type="dxa" w:w="1800"/>
            <w:tcMar>
              <w:top w:type="dxa" w:w="70"/>
              <w:left w:type="dxa" w:w="100"/>
              <w:bottom w:type="dxa" w:w="70"/>
              <w:right w:type="dxa" w:w="100"/>
            </w:tcMar>
            <w:vAlign w:val="top"/>
          </w:tcPr>
          <w:p>
            <w:r>
              <w:rPr>
                <w:b w:val="false"/>
                <w:bCs w:val="false"/>
                <w:sz w:val="16"/>
                <w:szCs w:val="16"/>
              </w:rPr>
              <w:t xml:space="preserve">Knowledge-enhanced VLP</w:t>
            </w:r>
          </w:p>
        </w:tc>
        <w:tc>
          <w:tcPr>
            <w:tcW w:type="dxa" w:w="1980"/>
            <w:tcMar>
              <w:top w:type="dxa" w:w="70"/>
              <w:left w:type="dxa" w:w="100"/>
              <w:bottom w:type="dxa" w:w="70"/>
              <w:right w:type="dxa" w:w="100"/>
            </w:tcMar>
            <w:vAlign w:val="top"/>
          </w:tcPr>
          <w:p>
            <w:r>
              <w:rPr>
                <w:b w:val="false"/>
                <w:bCs w:val="false"/>
                <w:sz w:val="16"/>
                <w:szCs w:val="16"/>
              </w:rPr>
              <w:t xml:space="preserve">Diagnosis + image-text alignment</w:t>
            </w:r>
          </w:p>
        </w:tc>
        <w:tc>
          <w:tcPr>
            <w:tcW w:type="dxa" w:w="1530"/>
            <w:tcMar>
              <w:top w:type="dxa" w:w="70"/>
              <w:left w:type="dxa" w:w="100"/>
              <w:bottom w:type="dxa" w:w="70"/>
              <w:right w:type="dxa" w:w="100"/>
            </w:tcMar>
            <w:vAlign w:val="top"/>
          </w:tcPr>
          <w:p>
            <w:r>
              <w:rPr>
                <w:b w:val="false"/>
                <w:bCs w:val="false"/>
                <w:sz w:val="16"/>
                <w:szCs w:val="16"/>
              </w:rPr>
              <w:t xml:space="preserve">Patch-level alignment</w:t>
            </w:r>
          </w:p>
        </w:tc>
        <w:tc>
          <w:tcPr>
            <w:tcW w:type="dxa" w:w="1710"/>
            <w:tcMar>
              <w:top w:type="dxa" w:w="70"/>
              <w:left w:type="dxa" w:w="100"/>
              <w:bottom w:type="dxa" w:w="70"/>
              <w:right w:type="dxa" w:w="100"/>
            </w:tcMar>
            <w:vAlign w:val="top"/>
          </w:tcPr>
          <w:p>
            <w:r>
              <w:rPr>
                <w:b w:val="false"/>
                <w:bCs w:val="false"/>
                <w:sz w:val="16"/>
                <w:szCs w:val="16"/>
              </w:rPr>
              <w:t xml:space="preserve">Image + radiology reports</w:t>
            </w:r>
          </w:p>
        </w:tc>
        <w:tc>
          <w:tcPr>
            <w:tcW w:type="dxa" w:w="1620"/>
            <w:tcMar>
              <w:top w:type="dxa" w:w="70"/>
              <w:left w:type="dxa" w:w="100"/>
              <w:bottom w:type="dxa" w:w="70"/>
              <w:right w:type="dxa" w:w="100"/>
            </w:tcMar>
            <w:vAlign w:val="top"/>
          </w:tcPr>
          <w:p>
            <w:r>
              <w:rPr>
                <w:b w:val="false"/>
                <w:bCs w:val="false"/>
                <w:sz w:val="16"/>
                <w:szCs w:val="16"/>
              </w:rPr>
              <w:t xml:space="preserve">Explicit medical knowledge</w:t>
            </w:r>
          </w:p>
        </w:tc>
        <w:tc>
          <w:tcPr>
            <w:tcW w:type="dxa" w:w="1710"/>
            <w:tcMar>
              <w:top w:type="dxa" w:w="70"/>
              <w:left w:type="dxa" w:w="100"/>
              <w:bottom w:type="dxa" w:w="70"/>
              <w:right w:type="dxa" w:w="100"/>
            </w:tcMar>
            <w:vAlign w:val="top"/>
          </w:tcPr>
          <w:p>
            <w:r>
              <w:rPr>
                <w:b w:val="false"/>
                <w:bCs w:val="false"/>
                <w:sz w:val="16"/>
                <w:szCs w:val="16"/>
              </w:rPr>
              <w:t xml:space="preserve">ChestX-ray14 + other CXR sets</w:t>
            </w:r>
          </w:p>
        </w:tc>
        <w:tc>
          <w:tcPr>
            <w:tcW w:type="dxa" w:w="2340"/>
            <w:tcMar>
              <w:top w:type="dxa" w:w="70"/>
              <w:left w:type="dxa" w:w="100"/>
              <w:bottom w:type="dxa" w:w="70"/>
              <w:right w:type="dxa" w:w="100"/>
            </w:tcMar>
            <w:vAlign w:val="top"/>
          </w:tcPr>
          <w:p>
            <w:r>
              <w:rPr>
                <w:b w:val="false"/>
                <w:bCs w:val="false"/>
                <w:sz w:val="16"/>
                <w:szCs w:val="16"/>
              </w:rPr>
              <w:t xml:space="preserve">Adds structured knowledge and patch alignment; we use a lighter approach instead.</w:t>
            </w:r>
          </w:p>
        </w:tc>
      </w:tr>
      <w:tr>
        <w:tc>
          <w:tcPr>
            <w:tcW w:type="dxa" w:w="1350"/>
            <w:tcMar>
              <w:top w:type="dxa" w:w="70"/>
              <w:left w:type="dxa" w:w="100"/>
              <w:bottom w:type="dxa" w:w="70"/>
              <w:right w:type="dxa" w:w="100"/>
            </w:tcMar>
            <w:vAlign w:val="top"/>
          </w:tcPr>
          <w:p>
            <w:r>
              <w:rPr>
                <w:b w:val="false"/>
                <w:bCs w:val="false"/>
                <w:sz w:val="16"/>
                <w:szCs w:val="16"/>
              </w:rPr>
              <w:t xml:space="preserve">BLIP-2</w:t>
            </w:r>
          </w:p>
        </w:tc>
        <w:tc>
          <w:tcPr>
            <w:tcW w:type="dxa" w:w="1800"/>
            <w:tcMar>
              <w:top w:type="dxa" w:w="70"/>
              <w:left w:type="dxa" w:w="100"/>
              <w:bottom w:type="dxa" w:w="70"/>
              <w:right w:type="dxa" w:w="100"/>
            </w:tcMar>
            <w:vAlign w:val="top"/>
          </w:tcPr>
          <w:p>
            <w:r>
              <w:rPr>
                <w:b w:val="false"/>
                <w:bCs w:val="false"/>
                <w:sz w:val="16"/>
                <w:szCs w:val="16"/>
              </w:rPr>
              <w:t xml:space="preserve">Frozen encoder + Q-Former + LLM</w:t>
            </w:r>
          </w:p>
        </w:tc>
        <w:tc>
          <w:tcPr>
            <w:tcW w:type="dxa" w:w="1980"/>
            <w:tcMar>
              <w:top w:type="dxa" w:w="70"/>
              <w:left w:type="dxa" w:w="100"/>
              <w:bottom w:type="dxa" w:w="70"/>
              <w:right w:type="dxa" w:w="100"/>
            </w:tcMar>
            <w:vAlign w:val="top"/>
          </w:tcPr>
          <w:p>
            <w:r>
              <w:rPr>
                <w:b w:val="false"/>
                <w:bCs w:val="false"/>
                <w:sz w:val="16"/>
                <w:szCs w:val="16"/>
              </w:rPr>
              <w:t xml:space="preserve">Vision-language understanding &amp; generation</w:t>
            </w:r>
          </w:p>
        </w:tc>
        <w:tc>
          <w:tcPr>
            <w:tcW w:type="dxa" w:w="1530"/>
            <w:tcMar>
              <w:top w:type="dxa" w:w="70"/>
              <w:left w:type="dxa" w:w="100"/>
              <w:bottom w:type="dxa" w:w="70"/>
              <w:right w:type="dxa" w:w="100"/>
            </w:tcMar>
            <w:vAlign w:val="top"/>
          </w:tcPr>
          <w:p>
            <w:r>
              <w:rPr>
                <w:b w:val="false"/>
                <w:bCs w:val="false"/>
                <w:sz w:val="16"/>
                <w:szCs w:val="16"/>
              </w:rPr>
              <w:t xml:space="preserve">Indirect</w:t>
            </w:r>
          </w:p>
        </w:tc>
        <w:tc>
          <w:tcPr>
            <w:tcW w:type="dxa" w:w="1710"/>
            <w:tcMar>
              <w:top w:type="dxa" w:w="70"/>
              <w:left w:type="dxa" w:w="100"/>
              <w:bottom w:type="dxa" w:w="70"/>
              <w:right w:type="dxa" w:w="100"/>
            </w:tcMar>
            <w:vAlign w:val="top"/>
          </w:tcPr>
          <w:p>
            <w:r>
              <w:rPr>
                <w:b w:val="false"/>
                <w:bCs w:val="false"/>
                <w:sz w:val="16"/>
                <w:szCs w:val="16"/>
              </w:rPr>
              <w:t xml:space="preserve">Image + language generation</w:t>
            </w:r>
          </w:p>
        </w:tc>
        <w:tc>
          <w:tcPr>
            <w:tcW w:type="dxa" w:w="1620"/>
            <w:tcMar>
              <w:top w:type="dxa" w:w="70"/>
              <w:left w:type="dxa" w:w="100"/>
              <w:bottom w:type="dxa" w:w="70"/>
              <w:right w:type="dxa" w:w="100"/>
            </w:tcMar>
            <w:vAlign w:val="top"/>
          </w:tcPr>
          <w:p>
            <w:r>
              <w:rPr>
                <w:b w:val="false"/>
                <w:bCs w:val="false"/>
                <w:sz w:val="16"/>
                <w:szCs w:val="16"/>
              </w:rPr>
              <w:t xml:space="preserve">General pretrained knowledge</w:t>
            </w:r>
          </w:p>
        </w:tc>
        <w:tc>
          <w:tcPr>
            <w:tcW w:type="dxa" w:w="1710"/>
            <w:tcMar>
              <w:top w:type="dxa" w:w="70"/>
              <w:left w:type="dxa" w:w="100"/>
              <w:bottom w:type="dxa" w:w="70"/>
              <w:right w:type="dxa" w:w="100"/>
            </w:tcMar>
            <w:vAlign w:val="top"/>
          </w:tcPr>
          <w:p>
            <w:r>
              <w:rPr>
                <w:b w:val="false"/>
                <w:bCs w:val="false"/>
                <w:sz w:val="16"/>
                <w:szCs w:val="16"/>
              </w:rPr>
              <w:t xml:space="preserve">General vision-language tasks</w:t>
            </w:r>
          </w:p>
        </w:tc>
        <w:tc>
          <w:tcPr>
            <w:tcW w:type="dxa" w:w="2340"/>
            <w:tcMar>
              <w:top w:type="dxa" w:w="70"/>
              <w:left w:type="dxa" w:w="100"/>
              <w:bottom w:type="dxa" w:w="70"/>
              <w:right w:type="dxa" w:w="100"/>
            </w:tcMar>
            <w:vAlign w:val="top"/>
          </w:tcPr>
          <w:p>
            <w:r>
              <w:rPr>
                <w:b w:val="false"/>
                <w:bCs w:val="false"/>
                <w:sz w:val="16"/>
                <w:szCs w:val="16"/>
              </w:rPr>
              <w:t xml:space="preserve">Shows generative VLM potential; we avoid its computational cost via retrieval instead.</w:t>
            </w:r>
          </w:p>
        </w:tc>
      </w:tr>
      <w:tr>
        <w:tc>
          <w:tcPr>
            <w:tcW w:type="dxa" w:w="1350"/>
            <w:tcMar>
              <w:top w:type="dxa" w:w="70"/>
              <w:left w:type="dxa" w:w="100"/>
              <w:bottom w:type="dxa" w:w="70"/>
              <w:right w:type="dxa" w:w="100"/>
            </w:tcMar>
            <w:vAlign w:val="top"/>
          </w:tcPr>
          <w:p>
            <w:r>
              <w:rPr>
                <w:b w:val="false"/>
                <w:bCs w:val="false"/>
                <w:sz w:val="16"/>
                <w:szCs w:val="16"/>
              </w:rPr>
              <w:t xml:space="preserve">ChestX-ray8/14</w:t>
            </w:r>
          </w:p>
        </w:tc>
        <w:tc>
          <w:tcPr>
            <w:tcW w:type="dxa" w:w="1800"/>
            <w:tcMar>
              <w:top w:type="dxa" w:w="70"/>
              <w:left w:type="dxa" w:w="100"/>
              <w:bottom w:type="dxa" w:w="70"/>
              <w:right w:type="dxa" w:w="100"/>
            </w:tcMar>
            <w:vAlign w:val="top"/>
          </w:tcPr>
          <w:p>
            <w:r>
              <w:rPr>
                <w:b w:val="false"/>
                <w:bCs w:val="false"/>
                <w:sz w:val="16"/>
                <w:szCs w:val="16"/>
              </w:rPr>
              <w:t xml:space="preserve">Large-scale CXR dataset</w:t>
            </w:r>
          </w:p>
        </w:tc>
        <w:tc>
          <w:tcPr>
            <w:tcW w:type="dxa" w:w="1980"/>
            <w:tcMar>
              <w:top w:type="dxa" w:w="70"/>
              <w:left w:type="dxa" w:w="100"/>
              <w:bottom w:type="dxa" w:w="70"/>
              <w:right w:type="dxa" w:w="100"/>
            </w:tcMar>
            <w:vAlign w:val="top"/>
          </w:tcPr>
          <w:p>
            <w:r>
              <w:rPr>
                <w:b w:val="false"/>
                <w:bCs w:val="false"/>
                <w:sz w:val="16"/>
                <w:szCs w:val="16"/>
              </w:rPr>
              <w:t xml:space="preserve">Benchmarking disease classification</w:t>
            </w:r>
          </w:p>
        </w:tc>
        <w:tc>
          <w:tcPr>
            <w:tcW w:type="dxa" w:w="1530"/>
            <w:tcMar>
              <w:top w:type="dxa" w:w="70"/>
              <w:left w:type="dxa" w:w="100"/>
              <w:bottom w:type="dxa" w:w="70"/>
              <w:right w:type="dxa" w:w="100"/>
            </w:tcMar>
            <w:vAlign w:val="top"/>
          </w:tcPr>
          <w:p>
            <w:r>
              <w:rPr>
                <w:b w:val="false"/>
                <w:bCs w:val="false"/>
                <w:sz w:val="16"/>
                <w:szCs w:val="16"/>
              </w:rPr>
              <w:t xml:space="preserve">—</w:t>
            </w:r>
          </w:p>
        </w:tc>
        <w:tc>
          <w:tcPr>
            <w:tcW w:type="dxa" w:w="1710"/>
            <w:tcMar>
              <w:top w:type="dxa" w:w="70"/>
              <w:left w:type="dxa" w:w="100"/>
              <w:bottom w:type="dxa" w:w="70"/>
              <w:right w:type="dxa" w:w="100"/>
            </w:tcMar>
            <w:vAlign w:val="top"/>
          </w:tcPr>
          <w:p>
            <w:r>
              <w:rPr>
                <w:b w:val="false"/>
                <w:bCs w:val="false"/>
                <w:sz w:val="16"/>
                <w:szCs w:val="16"/>
              </w:rPr>
              <w:t xml:space="preserve">—</w:t>
            </w:r>
          </w:p>
        </w:tc>
        <w:tc>
          <w:tcPr>
            <w:tcW w:type="dxa" w:w="1620"/>
            <w:tcMar>
              <w:top w:type="dxa" w:w="70"/>
              <w:left w:type="dxa" w:w="100"/>
              <w:bottom w:type="dxa" w:w="70"/>
              <w:right w:type="dxa" w:w="100"/>
            </w:tcMar>
            <w:vAlign w:val="top"/>
          </w:tcPr>
          <w:p>
            <w:r>
              <w:rPr>
                <w:b w:val="false"/>
                <w:bCs w:val="false"/>
                <w:sz w:val="16"/>
                <w:szCs w:val="16"/>
              </w:rPr>
              <w:t xml:space="preserve">Disease labels</w:t>
            </w:r>
          </w:p>
        </w:tc>
        <w:tc>
          <w:tcPr>
            <w:tcW w:type="dxa" w:w="1710"/>
            <w:tcMar>
              <w:top w:type="dxa" w:w="70"/>
              <w:left w:type="dxa" w:w="100"/>
              <w:bottom w:type="dxa" w:w="70"/>
              <w:right w:type="dxa" w:w="100"/>
            </w:tcMar>
            <w:vAlign w:val="top"/>
          </w:tcPr>
          <w:p>
            <w:r>
              <w:rPr>
                <w:b w:val="false"/>
                <w:bCs w:val="false"/>
                <w:sz w:val="16"/>
                <w:szCs w:val="16"/>
              </w:rPr>
              <w:t xml:space="preserve">Chest X-rays</w:t>
            </w:r>
          </w:p>
        </w:tc>
        <w:tc>
          <w:tcPr>
            <w:tcW w:type="dxa" w:w="2340"/>
            <w:tcMar>
              <w:top w:type="dxa" w:w="70"/>
              <w:left w:type="dxa" w:w="100"/>
              <w:bottom w:type="dxa" w:w="70"/>
              <w:right w:type="dxa" w:w="100"/>
            </w:tcMar>
            <w:vAlign w:val="top"/>
          </w:tcPr>
          <w:p>
            <w:r>
              <w:rPr>
                <w:b w:val="false"/>
                <w:bCs w:val="false"/>
                <w:sz w:val="16"/>
                <w:szCs w:val="16"/>
              </w:rPr>
              <w:t xml:space="preserve">Provides the imaging benchmark/data foundation used by CheXNet and others.</w:t>
            </w:r>
          </w:p>
        </w:tc>
      </w:tr>
      <w:tr>
        <w:tc>
          <w:tcPr>
            <w:tcW w:type="dxa" w:w="1350"/>
            <w:shd w:fill="E2EFDA" w:val="clear"/>
            <w:tcMar>
              <w:top w:type="dxa" w:w="70"/>
              <w:left w:type="dxa" w:w="100"/>
              <w:bottom w:type="dxa" w:w="70"/>
              <w:right w:type="dxa" w:w="100"/>
            </w:tcMar>
            <w:vAlign w:val="top"/>
          </w:tcPr>
          <w:p>
            <w:r>
              <w:rPr>
                <w:b/>
                <w:bCs/>
                <w:sz w:val="16"/>
                <w:szCs w:val="16"/>
              </w:rPr>
              <w:t xml:space="preserve">Our Proposed System</w:t>
            </w:r>
          </w:p>
        </w:tc>
        <w:tc>
          <w:tcPr>
            <w:tcW w:type="dxa" w:w="1800"/>
            <w:shd w:fill="E2EFDA" w:val="clear"/>
            <w:tcMar>
              <w:top w:type="dxa" w:w="70"/>
              <w:left w:type="dxa" w:w="100"/>
              <w:bottom w:type="dxa" w:w="70"/>
              <w:right w:type="dxa" w:w="100"/>
            </w:tcMar>
            <w:vAlign w:val="top"/>
          </w:tcPr>
          <w:p>
            <w:r>
              <w:rPr>
                <w:b/>
                <w:bCs/>
                <w:sz w:val="16"/>
                <w:szCs w:val="16"/>
              </w:rPr>
              <w:t xml:space="preserve">ViT/DenseNet + explainability + report retrieval + triage</w:t>
            </w:r>
          </w:p>
        </w:tc>
        <w:tc>
          <w:tcPr>
            <w:tcW w:type="dxa" w:w="1980"/>
            <w:shd w:fill="E2EFDA" w:val="clear"/>
            <w:tcMar>
              <w:top w:type="dxa" w:w="70"/>
              <w:left w:type="dxa" w:w="100"/>
              <w:bottom w:type="dxa" w:w="70"/>
              <w:right w:type="dxa" w:w="100"/>
            </w:tcMar>
            <w:vAlign w:val="top"/>
          </w:tcPr>
          <w:p>
            <w:r>
              <w:rPr>
                <w:b/>
                <w:bCs/>
                <w:sz w:val="16"/>
                <w:szCs w:val="16"/>
              </w:rPr>
              <w:t xml:space="preserve">Diagnosis + explanation + evidence-supported reporting</w:t>
            </w:r>
          </w:p>
        </w:tc>
        <w:tc>
          <w:tcPr>
            <w:tcW w:type="dxa" w:w="1530"/>
            <w:shd w:fill="E2EFDA" w:val="clear"/>
            <w:tcMar>
              <w:top w:type="dxa" w:w="70"/>
              <w:left w:type="dxa" w:w="100"/>
              <w:bottom w:type="dxa" w:w="70"/>
              <w:right w:type="dxa" w:w="100"/>
            </w:tcMar>
            <w:vAlign w:val="top"/>
          </w:tcPr>
          <w:p>
            <w:r>
              <w:rPr>
                <w:b/>
                <w:bCs/>
                <w:sz w:val="16"/>
                <w:szCs w:val="16"/>
              </w:rPr>
              <w:t xml:space="preserve">Attention-based localization</w:t>
            </w:r>
          </w:p>
        </w:tc>
        <w:tc>
          <w:tcPr>
            <w:tcW w:type="dxa" w:w="1710"/>
            <w:shd w:fill="E2EFDA" w:val="clear"/>
            <w:tcMar>
              <w:top w:type="dxa" w:w="70"/>
              <w:left w:type="dxa" w:w="100"/>
              <w:bottom w:type="dxa" w:w="70"/>
              <w:right w:type="dxa" w:w="100"/>
            </w:tcMar>
            <w:vAlign w:val="top"/>
          </w:tcPr>
          <w:p>
            <w:r>
              <w:rPr>
                <w:b/>
                <w:bCs/>
                <w:sz w:val="16"/>
                <w:szCs w:val="16"/>
              </w:rPr>
              <w:t xml:space="preserve">TF-IDF report retrieval</w:t>
            </w:r>
          </w:p>
        </w:tc>
        <w:tc>
          <w:tcPr>
            <w:tcW w:type="dxa" w:w="1620"/>
            <w:shd w:fill="E2EFDA" w:val="clear"/>
            <w:tcMar>
              <w:top w:type="dxa" w:w="70"/>
              <w:left w:type="dxa" w:w="100"/>
              <w:bottom w:type="dxa" w:w="70"/>
              <w:right w:type="dxa" w:w="100"/>
            </w:tcMar>
            <w:vAlign w:val="top"/>
          </w:tcPr>
          <w:p>
            <w:r>
              <w:rPr>
                <w:b/>
                <w:bCs/>
                <w:sz w:val="16"/>
                <w:szCs w:val="16"/>
              </w:rPr>
              <w:t xml:space="preserve">Retrieved clinical evidence</w:t>
            </w:r>
          </w:p>
        </w:tc>
        <w:tc>
          <w:tcPr>
            <w:tcW w:type="dxa" w:w="1710"/>
            <w:shd w:fill="E2EFDA" w:val="clear"/>
            <w:tcMar>
              <w:top w:type="dxa" w:w="70"/>
              <w:left w:type="dxa" w:w="100"/>
              <w:bottom w:type="dxa" w:w="70"/>
              <w:right w:type="dxa" w:w="100"/>
            </w:tcMar>
            <w:vAlign w:val="top"/>
          </w:tcPr>
          <w:p>
            <w:r>
              <w:rPr>
                <w:b/>
                <w:bCs/>
                <w:sz w:val="16"/>
                <w:szCs w:val="16"/>
              </w:rPr>
              <w:t xml:space="preserve">Chest X-ray subset</w:t>
            </w:r>
          </w:p>
        </w:tc>
        <w:tc>
          <w:tcPr>
            <w:tcW w:type="dxa" w:w="2340"/>
            <w:shd w:fill="E2EFDA" w:val="clear"/>
            <w:tcMar>
              <w:top w:type="dxa" w:w="70"/>
              <w:left w:type="dxa" w:w="100"/>
              <w:bottom w:type="dxa" w:w="70"/>
              <w:right w:type="dxa" w:w="100"/>
            </w:tcMar>
            <w:vAlign w:val="top"/>
          </w:tcPr>
          <w:p>
            <w:r>
              <w:rPr>
                <w:b/>
                <w:bCs/>
                <w:sz w:val="16"/>
                <w:szCs w:val="16"/>
              </w:rPr>
              <w:t xml:space="preserve">Combines prediction, visual explanation, evidence retrieval and rule-based triage into one lightweight pipeline.</w:t>
            </w:r>
          </w:p>
        </w:tc>
      </w:tr>
    </w:tbl>
    <w:p>
      <w:pPr>
        <w:sectPr>
          <w:pgSz w:w="15840" w:h="12240" w:orient="landscape"/>
          <w:pgMar w:top="900" w:right="900" w:bottom="900" w:left="900" w:header="708" w:footer="708" w:gutter="0"/>
          <w:pgNumType/>
          <w:docGrid w:linePitch="360"/>
        </w:sectPr>
      </w:pPr>
    </w:p>
    <w:p>
      <w:pPr>
        <w:pStyle w:val="Heading1"/>
        <w:spacing w:after="150" w:before="300"/>
      </w:pPr>
      <w:r>
        <w:t xml:space="preserve">4. Performance Comparison Across Studies</w:t>
      </w:r>
    </w:p>
    <w:p>
      <w:pPr>
        <w:spacing w:after="160"/>
      </w:pPr>
      <w:r>
        <w:rPr>
          <w:i/>
          <w:iCs/>
          <w:color w:val="666666"/>
          <w:sz w:val="19"/>
          <w:szCs w:val="19"/>
        </w:rPr>
        <w:t xml:space="preserve">Reported performance values are taken from the respective published studies and are not directly comparable across different datasets, evaluation protocols, and metrics. They are presented side by side only to show the range of results reported in the literature.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3000"/>
      </w:tblGrid>
      <w:tr>
        <w:trPr>
          <w:tblHeader/>
        </w:trPr>
        <w:tc>
          <w:tcPr>
            <w:tcW w:type="dxa" w:w="4600"/>
            <w:shd w:fill="D9E2F3" w:val="clear"/>
            <w:tcMar>
              <w:top w:type="dxa" w:w="70"/>
              <w:left w:type="dxa" w:w="100"/>
              <w:bottom w:type="dxa" w:w="70"/>
              <w:right w:type="dxa" w:w="100"/>
            </w:tcMar>
            <w:vAlign w:val="top"/>
          </w:tcPr>
          <w:p>
            <w:r>
              <w:rPr>
                <w:b/>
                <w:bCs/>
                <w:sz w:val="18"/>
                <w:szCs w:val="18"/>
              </w:rPr>
              <w:t xml:space="preserve">Model</w:t>
            </w:r>
          </w:p>
        </w:tc>
        <w:tc>
          <w:tcPr>
            <w:tcW w:type="dxa" w:w="2200"/>
            <w:shd w:fill="D9E2F3" w:val="clear"/>
            <w:tcMar>
              <w:top w:type="dxa" w:w="70"/>
              <w:left w:type="dxa" w:w="100"/>
              <w:bottom w:type="dxa" w:w="70"/>
              <w:right w:type="dxa" w:w="100"/>
            </w:tcMar>
            <w:vAlign w:val="top"/>
          </w:tcPr>
          <w:p>
            <w:r>
              <w:rPr>
                <w:b/>
                <w:bCs/>
                <w:sz w:val="18"/>
                <w:szCs w:val="18"/>
              </w:rPr>
              <w:t xml:space="preserve">Performance</w:t>
            </w:r>
          </w:p>
        </w:tc>
        <w:tc>
          <w:tcPr>
            <w:tcW w:type="dxa" w:w="3000"/>
            <w:shd w:fill="D9E2F3" w:val="clear"/>
            <w:tcMar>
              <w:top w:type="dxa" w:w="70"/>
              <w:left w:type="dxa" w:w="100"/>
              <w:bottom w:type="dxa" w:w="70"/>
              <w:right w:type="dxa" w:w="100"/>
            </w:tcMar>
            <w:vAlign w:val="top"/>
          </w:tcPr>
          <w:p>
            <w:r>
              <w:rPr>
                <w:b/>
                <w:bCs/>
                <w:sz w:val="18"/>
                <w:szCs w:val="18"/>
              </w:rPr>
              <w:t xml:space="preserve">Metric</w:t>
            </w:r>
          </w:p>
        </w:tc>
      </w:tr>
      <w:tr>
        <w:tc>
          <w:tcPr>
            <w:tcW w:type="dxa" w:w="4600"/>
            <w:tcMar>
              <w:top w:type="dxa" w:w="70"/>
              <w:left w:type="dxa" w:w="100"/>
              <w:bottom w:type="dxa" w:w="70"/>
              <w:right w:type="dxa" w:w="100"/>
            </w:tcMar>
            <w:vAlign w:val="top"/>
          </w:tcPr>
          <w:p>
            <w:r>
              <w:rPr>
                <w:b w:val="false"/>
                <w:bCs w:val="false"/>
                <w:sz w:val="17"/>
                <w:szCs w:val="17"/>
              </w:rPr>
              <w:t xml:space="preserve">CheXNet</w:t>
            </w:r>
          </w:p>
        </w:tc>
        <w:tc>
          <w:tcPr>
            <w:tcW w:type="dxa" w:w="2200"/>
            <w:tcMar>
              <w:top w:type="dxa" w:w="70"/>
              <w:left w:type="dxa" w:w="100"/>
              <w:bottom w:type="dxa" w:w="70"/>
              <w:right w:type="dxa" w:w="100"/>
            </w:tcMar>
            <w:vAlign w:val="top"/>
          </w:tcPr>
          <w:p>
            <w:r>
              <w:rPr>
                <w:b w:val="false"/>
                <w:bCs w:val="false"/>
                <w:sz w:val="17"/>
                <w:szCs w:val="17"/>
              </w:rPr>
              <w:t xml:space="preserve">84.14%</w:t>
            </w:r>
          </w:p>
        </w:tc>
        <w:tc>
          <w:tcPr>
            <w:tcW w:type="dxa" w:w="3000"/>
            <w:tcMar>
              <w:top w:type="dxa" w:w="70"/>
              <w:left w:type="dxa" w:w="100"/>
              <w:bottom w:type="dxa" w:w="70"/>
              <w:right w:type="dxa" w:w="100"/>
            </w:tcMar>
            <w:vAlign w:val="top"/>
          </w:tcPr>
          <w:p>
            <w:r>
              <w:rPr>
                <w:b w:val="false"/>
                <w:bCs w:val="false"/>
                <w:sz w:val="17"/>
                <w:szCs w:val="17"/>
              </w:rPr>
              <w:t xml:space="preserve">Mean AUROC</w:t>
            </w:r>
          </w:p>
        </w:tc>
      </w:tr>
      <w:tr>
        <w:tc>
          <w:tcPr>
            <w:tcW w:type="dxa" w:w="4600"/>
            <w:tcMar>
              <w:top w:type="dxa" w:w="70"/>
              <w:left w:type="dxa" w:w="100"/>
              <w:bottom w:type="dxa" w:w="70"/>
              <w:right w:type="dxa" w:w="100"/>
            </w:tcMar>
            <w:vAlign w:val="top"/>
          </w:tcPr>
          <w:p>
            <w:r>
              <w:rPr>
                <w:b w:val="false"/>
                <w:bCs w:val="false"/>
                <w:sz w:val="17"/>
                <w:szCs w:val="17"/>
              </w:rPr>
              <w:t xml:space="preserve">DenseNet-121</w:t>
            </w:r>
          </w:p>
        </w:tc>
        <w:tc>
          <w:tcPr>
            <w:tcW w:type="dxa" w:w="2200"/>
            <w:tcMar>
              <w:top w:type="dxa" w:w="70"/>
              <w:left w:type="dxa" w:w="100"/>
              <w:bottom w:type="dxa" w:w="70"/>
              <w:right w:type="dxa" w:w="100"/>
            </w:tcMar>
            <w:vAlign w:val="top"/>
          </w:tcPr>
          <w:p>
            <w:r>
              <w:rPr>
                <w:b w:val="false"/>
                <w:bCs w:val="false"/>
                <w:sz w:val="17"/>
                <w:szCs w:val="17"/>
              </w:rPr>
              <w:t xml:space="preserve">90.20%</w:t>
            </w:r>
          </w:p>
        </w:tc>
        <w:tc>
          <w:tcPr>
            <w:tcW w:type="dxa" w:w="3000"/>
            <w:tcMar>
              <w:top w:type="dxa" w:w="70"/>
              <w:left w:type="dxa" w:w="100"/>
              <w:bottom w:type="dxa" w:w="70"/>
              <w:right w:type="dxa" w:w="100"/>
            </w:tcMar>
            <w:vAlign w:val="top"/>
          </w:tcPr>
          <w:p>
            <w:r>
              <w:rPr>
                <w:b w:val="false"/>
                <w:bCs w:val="false"/>
                <w:sz w:val="17"/>
                <w:szCs w:val="17"/>
              </w:rPr>
              <w:t xml:space="preserve">Mean AUROC</w:t>
            </w:r>
          </w:p>
        </w:tc>
      </w:tr>
      <w:tr>
        <w:tc>
          <w:tcPr>
            <w:tcW w:type="dxa" w:w="4600"/>
            <w:tcMar>
              <w:top w:type="dxa" w:w="70"/>
              <w:left w:type="dxa" w:w="100"/>
              <w:bottom w:type="dxa" w:w="70"/>
              <w:right w:type="dxa" w:w="100"/>
            </w:tcMar>
            <w:vAlign w:val="top"/>
          </w:tcPr>
          <w:p>
            <w:r>
              <w:rPr>
                <w:b w:val="false"/>
                <w:bCs w:val="false"/>
                <w:sz w:val="17"/>
                <w:szCs w:val="17"/>
              </w:rPr>
              <w:t xml:space="preserve">ConVIRT</w:t>
            </w:r>
          </w:p>
        </w:tc>
        <w:tc>
          <w:tcPr>
            <w:tcW w:type="dxa" w:w="2200"/>
            <w:tcMar>
              <w:top w:type="dxa" w:w="70"/>
              <w:left w:type="dxa" w:w="100"/>
              <w:bottom w:type="dxa" w:w="70"/>
              <w:right w:type="dxa" w:w="100"/>
            </w:tcMar>
            <w:vAlign w:val="top"/>
          </w:tcPr>
          <w:p>
            <w:r>
              <w:rPr>
                <w:b w:val="false"/>
                <w:bCs w:val="false"/>
                <w:sz w:val="17"/>
                <w:szCs w:val="17"/>
              </w:rPr>
              <w:t xml:space="preserve">41.88%</w:t>
            </w:r>
          </w:p>
        </w:tc>
        <w:tc>
          <w:tcPr>
            <w:tcW w:type="dxa" w:w="3000"/>
            <w:tcMar>
              <w:top w:type="dxa" w:w="70"/>
              <w:left w:type="dxa" w:w="100"/>
              <w:bottom w:type="dxa" w:w="70"/>
              <w:right w:type="dxa" w:w="100"/>
            </w:tcMar>
            <w:vAlign w:val="top"/>
          </w:tcPr>
          <w:p>
            <w:r>
              <w:rPr>
                <w:b w:val="false"/>
                <w:bCs w:val="false"/>
                <w:sz w:val="17"/>
                <w:szCs w:val="17"/>
              </w:rPr>
              <w:t xml:space="preserve">Zero-shot Accuracy</w:t>
            </w:r>
          </w:p>
        </w:tc>
      </w:tr>
      <w:tr>
        <w:tc>
          <w:tcPr>
            <w:tcW w:type="dxa" w:w="4600"/>
            <w:tcMar>
              <w:top w:type="dxa" w:w="70"/>
              <w:left w:type="dxa" w:w="100"/>
              <w:bottom w:type="dxa" w:w="70"/>
              <w:right w:type="dxa" w:w="100"/>
            </w:tcMar>
            <w:vAlign w:val="top"/>
          </w:tcPr>
          <w:p>
            <w:r>
              <w:rPr>
                <w:b w:val="false"/>
                <w:bCs w:val="false"/>
                <w:sz w:val="17"/>
                <w:szCs w:val="17"/>
              </w:rPr>
              <w:t xml:space="preserve">GLoRIA</w:t>
            </w:r>
          </w:p>
        </w:tc>
        <w:tc>
          <w:tcPr>
            <w:tcW w:type="dxa" w:w="2200"/>
            <w:tcMar>
              <w:top w:type="dxa" w:w="70"/>
              <w:left w:type="dxa" w:w="100"/>
              <w:bottom w:type="dxa" w:w="70"/>
              <w:right w:type="dxa" w:w="100"/>
            </w:tcMar>
            <w:vAlign w:val="top"/>
          </w:tcPr>
          <w:p>
            <w:r>
              <w:rPr>
                <w:b w:val="false"/>
                <w:bCs w:val="false"/>
                <w:sz w:val="17"/>
                <w:szCs w:val="17"/>
              </w:rPr>
              <w:t xml:space="preserve">43.28%</w:t>
            </w:r>
          </w:p>
        </w:tc>
        <w:tc>
          <w:tcPr>
            <w:tcW w:type="dxa" w:w="3000"/>
            <w:tcMar>
              <w:top w:type="dxa" w:w="70"/>
              <w:left w:type="dxa" w:w="100"/>
              <w:bottom w:type="dxa" w:w="70"/>
              <w:right w:type="dxa" w:w="100"/>
            </w:tcMar>
            <w:vAlign w:val="top"/>
          </w:tcPr>
          <w:p>
            <w:r>
              <w:rPr>
                <w:b w:val="false"/>
                <w:bCs w:val="false"/>
                <w:sz w:val="17"/>
                <w:szCs w:val="17"/>
              </w:rPr>
              <w:t xml:space="preserve">Zero-shot Accuracy</w:t>
            </w:r>
          </w:p>
        </w:tc>
      </w:tr>
      <w:tr>
        <w:tc>
          <w:tcPr>
            <w:tcW w:type="dxa" w:w="4600"/>
            <w:tcMar>
              <w:top w:type="dxa" w:w="70"/>
              <w:left w:type="dxa" w:w="100"/>
              <w:bottom w:type="dxa" w:w="70"/>
              <w:right w:type="dxa" w:w="100"/>
            </w:tcMar>
            <w:vAlign w:val="top"/>
          </w:tcPr>
          <w:p>
            <w:r>
              <w:rPr>
                <w:b w:val="false"/>
                <w:bCs w:val="false"/>
                <w:sz w:val="17"/>
                <w:szCs w:val="17"/>
              </w:rPr>
              <w:t xml:space="preserve">MedCLIP</w:t>
            </w:r>
          </w:p>
        </w:tc>
        <w:tc>
          <w:tcPr>
            <w:tcW w:type="dxa" w:w="2200"/>
            <w:tcMar>
              <w:top w:type="dxa" w:w="70"/>
              <w:left w:type="dxa" w:w="100"/>
              <w:bottom w:type="dxa" w:w="70"/>
              <w:right w:type="dxa" w:w="100"/>
            </w:tcMar>
            <w:vAlign w:val="top"/>
          </w:tcPr>
          <w:p>
            <w:r>
              <w:rPr>
                <w:b w:val="false"/>
                <w:bCs w:val="false"/>
                <w:sz w:val="17"/>
                <w:szCs w:val="17"/>
              </w:rPr>
              <w:t xml:space="preserve">59.42%</w:t>
            </w:r>
          </w:p>
        </w:tc>
        <w:tc>
          <w:tcPr>
            <w:tcW w:type="dxa" w:w="3000"/>
            <w:tcMar>
              <w:top w:type="dxa" w:w="70"/>
              <w:left w:type="dxa" w:w="100"/>
              <w:bottom w:type="dxa" w:w="70"/>
              <w:right w:type="dxa" w:w="100"/>
            </w:tcMar>
            <w:vAlign w:val="top"/>
          </w:tcPr>
          <w:p>
            <w:r>
              <w:rPr>
                <w:b w:val="false"/>
                <w:bCs w:val="false"/>
                <w:sz w:val="17"/>
                <w:szCs w:val="17"/>
              </w:rPr>
              <w:t xml:space="preserve">Zero-shot Accuracy</w:t>
            </w:r>
          </w:p>
        </w:tc>
      </w:tr>
      <w:tr>
        <w:tc>
          <w:tcPr>
            <w:tcW w:type="dxa" w:w="4600"/>
            <w:tcMar>
              <w:top w:type="dxa" w:w="70"/>
              <w:left w:type="dxa" w:w="100"/>
              <w:bottom w:type="dxa" w:w="70"/>
              <w:right w:type="dxa" w:w="100"/>
            </w:tcMar>
            <w:vAlign w:val="top"/>
          </w:tcPr>
          <w:p>
            <w:r>
              <w:rPr>
                <w:b w:val="false"/>
                <w:bCs w:val="false"/>
                <w:sz w:val="17"/>
                <w:szCs w:val="17"/>
              </w:rPr>
              <w:t xml:space="preserve">Our DenseNet-121</w:t>
            </w:r>
          </w:p>
        </w:tc>
        <w:tc>
          <w:tcPr>
            <w:tcW w:type="dxa" w:w="2200"/>
            <w:tcMar>
              <w:top w:type="dxa" w:w="70"/>
              <w:left w:type="dxa" w:w="100"/>
              <w:bottom w:type="dxa" w:w="70"/>
              <w:right w:type="dxa" w:w="100"/>
            </w:tcMar>
            <w:vAlign w:val="top"/>
          </w:tcPr>
          <w:p>
            <w:r>
              <w:rPr>
                <w:b w:val="false"/>
                <w:bCs w:val="false"/>
                <w:sz w:val="17"/>
                <w:szCs w:val="17"/>
              </w:rPr>
              <w:t xml:space="preserve">25.40%</w:t>
            </w:r>
          </w:p>
        </w:tc>
        <w:tc>
          <w:tcPr>
            <w:tcW w:type="dxa" w:w="3000"/>
            <w:tcMar>
              <w:top w:type="dxa" w:w="70"/>
              <w:left w:type="dxa" w:w="100"/>
              <w:bottom w:type="dxa" w:w="70"/>
              <w:right w:type="dxa" w:w="100"/>
            </w:tcMar>
            <w:vAlign w:val="top"/>
          </w:tcPr>
          <w:p>
            <w:r>
              <w:rPr>
                <w:b w:val="false"/>
                <w:bCs w:val="false"/>
                <w:sz w:val="17"/>
                <w:szCs w:val="17"/>
              </w:rPr>
              <w:t xml:space="preserve">Macro F1</w:t>
            </w:r>
          </w:p>
        </w:tc>
      </w:tr>
      <w:tr>
        <w:tc>
          <w:tcPr>
            <w:tcW w:type="dxa" w:w="4600"/>
            <w:tcMar>
              <w:top w:type="dxa" w:w="70"/>
              <w:left w:type="dxa" w:w="100"/>
              <w:bottom w:type="dxa" w:w="70"/>
              <w:right w:type="dxa" w:w="100"/>
            </w:tcMar>
            <w:vAlign w:val="top"/>
          </w:tcPr>
          <w:p>
            <w:r>
              <w:rPr>
                <w:b w:val="false"/>
                <w:bCs w:val="false"/>
                <w:sz w:val="17"/>
                <w:szCs w:val="17"/>
              </w:rPr>
              <w:t xml:space="preserve">Our ViT-B/32</w:t>
            </w:r>
          </w:p>
        </w:tc>
        <w:tc>
          <w:tcPr>
            <w:tcW w:type="dxa" w:w="2200"/>
            <w:tcMar>
              <w:top w:type="dxa" w:w="70"/>
              <w:left w:type="dxa" w:w="100"/>
              <w:bottom w:type="dxa" w:w="70"/>
              <w:right w:type="dxa" w:w="100"/>
            </w:tcMar>
            <w:vAlign w:val="top"/>
          </w:tcPr>
          <w:p>
            <w:r>
              <w:rPr>
                <w:b w:val="false"/>
                <w:bCs w:val="false"/>
                <w:sz w:val="17"/>
                <w:szCs w:val="17"/>
              </w:rPr>
              <w:t xml:space="preserve">23.00%</w:t>
            </w:r>
          </w:p>
        </w:tc>
        <w:tc>
          <w:tcPr>
            <w:tcW w:type="dxa" w:w="3000"/>
            <w:tcMar>
              <w:top w:type="dxa" w:w="70"/>
              <w:left w:type="dxa" w:w="100"/>
              <w:bottom w:type="dxa" w:w="70"/>
              <w:right w:type="dxa" w:w="100"/>
            </w:tcMar>
            <w:vAlign w:val="top"/>
          </w:tcPr>
          <w:p>
            <w:r>
              <w:rPr>
                <w:b w:val="false"/>
                <w:bCs w:val="false"/>
                <w:sz w:val="17"/>
                <w:szCs w:val="17"/>
              </w:rPr>
              <w:t xml:space="preserve">Macro F1</w:t>
            </w:r>
          </w:p>
        </w:tc>
      </w:tr>
      <w:tr>
        <w:tc>
          <w:tcPr>
            <w:tcW w:type="dxa" w:w="4600"/>
            <w:tcMar>
              <w:top w:type="dxa" w:w="70"/>
              <w:left w:type="dxa" w:w="100"/>
              <w:bottom w:type="dxa" w:w="70"/>
              <w:right w:type="dxa" w:w="100"/>
            </w:tcMar>
            <w:vAlign w:val="top"/>
          </w:tcPr>
          <w:p>
            <w:r>
              <w:rPr>
                <w:b w:val="false"/>
                <w:bCs w:val="false"/>
                <w:sz w:val="17"/>
                <w:szCs w:val="17"/>
              </w:rPr>
              <w:t xml:space="preserve">Our DenseNet-121 + tuned thresholds</w:t>
            </w:r>
          </w:p>
        </w:tc>
        <w:tc>
          <w:tcPr>
            <w:tcW w:type="dxa" w:w="2200"/>
            <w:tcMar>
              <w:top w:type="dxa" w:w="70"/>
              <w:left w:type="dxa" w:w="100"/>
              <w:bottom w:type="dxa" w:w="70"/>
              <w:right w:type="dxa" w:w="100"/>
            </w:tcMar>
            <w:vAlign w:val="top"/>
          </w:tcPr>
          <w:p>
            <w:r>
              <w:rPr>
                <w:b w:val="false"/>
                <w:bCs w:val="false"/>
                <w:sz w:val="17"/>
                <w:szCs w:val="17"/>
              </w:rPr>
              <w:t xml:space="preserve">30.40%</w:t>
            </w:r>
          </w:p>
        </w:tc>
        <w:tc>
          <w:tcPr>
            <w:tcW w:type="dxa" w:w="3000"/>
            <w:tcMar>
              <w:top w:type="dxa" w:w="70"/>
              <w:left w:type="dxa" w:w="100"/>
              <w:bottom w:type="dxa" w:w="70"/>
              <w:right w:type="dxa" w:w="100"/>
            </w:tcMar>
            <w:vAlign w:val="top"/>
          </w:tcPr>
          <w:p>
            <w:r>
              <w:rPr>
                <w:b w:val="false"/>
                <w:bCs w:val="false"/>
                <w:sz w:val="17"/>
                <w:szCs w:val="17"/>
              </w:rPr>
              <w:t xml:space="preserve">Macro F1</w:t>
            </w:r>
          </w:p>
        </w:tc>
      </w:tr>
      <w:tr>
        <w:tc>
          <w:tcPr>
            <w:tcW w:type="dxa" w:w="4600"/>
            <w:tcMar>
              <w:top w:type="dxa" w:w="70"/>
              <w:left w:type="dxa" w:w="100"/>
              <w:bottom w:type="dxa" w:w="70"/>
              <w:right w:type="dxa" w:w="100"/>
            </w:tcMar>
            <w:vAlign w:val="top"/>
          </w:tcPr>
          <w:p>
            <w:r>
              <w:rPr>
                <w:b w:val="false"/>
                <w:bCs w:val="false"/>
                <w:sz w:val="17"/>
                <w:szCs w:val="17"/>
              </w:rPr>
              <w:t xml:space="preserve">Our ViT-B/32 + tuned thresholds</w:t>
            </w:r>
          </w:p>
        </w:tc>
        <w:tc>
          <w:tcPr>
            <w:tcW w:type="dxa" w:w="2200"/>
            <w:tcMar>
              <w:top w:type="dxa" w:w="70"/>
              <w:left w:type="dxa" w:w="100"/>
              <w:bottom w:type="dxa" w:w="70"/>
              <w:right w:type="dxa" w:w="100"/>
            </w:tcMar>
            <w:vAlign w:val="top"/>
          </w:tcPr>
          <w:p>
            <w:r>
              <w:rPr>
                <w:b w:val="false"/>
                <w:bCs w:val="false"/>
                <w:sz w:val="17"/>
                <w:szCs w:val="17"/>
              </w:rPr>
              <w:t xml:space="preserve">26.00%</w:t>
            </w:r>
          </w:p>
        </w:tc>
        <w:tc>
          <w:tcPr>
            <w:tcW w:type="dxa" w:w="3000"/>
            <w:tcMar>
              <w:top w:type="dxa" w:w="70"/>
              <w:left w:type="dxa" w:w="100"/>
              <w:bottom w:type="dxa" w:w="70"/>
              <w:right w:type="dxa" w:w="100"/>
            </w:tcMar>
            <w:vAlign w:val="top"/>
          </w:tcPr>
          <w:p>
            <w:r>
              <w:rPr>
                <w:b w:val="false"/>
                <w:bCs w:val="false"/>
                <w:sz w:val="17"/>
                <w:szCs w:val="17"/>
              </w:rPr>
              <w:t xml:space="preserve">Macro F1</w:t>
            </w:r>
          </w:p>
        </w:tc>
      </w:tr>
    </w:tbl>
    <w:p>
      <w:pPr>
        <w:spacing w:after="120"/>
      </w:pPr>
    </w:p>
    <w:p>
      <w:pPr>
        <w:spacing w:after="140"/>
      </w:pPr>
      <w:r>
        <w:rPr>
          <w:i/>
          <w:iCs/>
        </w:rPr>
        <w:t xml:space="preserve">Within our own experimental setup, DenseNet-121 achieved a higher Macro F1 than ViT-B/32, and class-specific threshold tuning improved both backbones — the only comparison in this report where all four numbers share the same dataset, split, and metric.</w:t>
      </w:r>
    </w:p>
    <w:p>
      <w:pPr>
        <w:pStyle w:val="Heading1"/>
        <w:spacing w:after="150" w:before="300"/>
      </w:pPr>
      <w:r>
        <w:t xml:space="preserve">5. Graphical Comparative Analysis</w:t>
      </w:r>
    </w:p>
    <w:p>
      <w:pPr>
        <w:pStyle w:val="Heading2"/>
        <w:spacing w:after="100" w:before="220"/>
      </w:pPr>
      <w:r>
        <w:t xml:space="preserve">5.1 Proposed Model: Performance Summary and Literature Positioning</w:t>
      </w:r>
    </w:p>
    <w:p>
      <w:pPr>
        <w:spacing w:after="140"/>
      </w:pPr>
      <w:r>
        <w:t xml:space="preserve">The infographic below summarizes our proposed model's own test-set metrics on the SMS Spam Collection classifier component (top half) alongside a positioning of published mean-AUROC and zero-shot-accuracy figures against our Macro-F1 results (bottom half). As noted above, the bottom chart mixes metrics across studies and should be read as a literature snapshot, not a ranked leaderboard.</w:t>
      </w:r>
    </w:p>
    <w:p>
      <w:pPr>
        <w:spacing w:after="100" w:before="100"/>
        <w:jc w:val="center"/>
      </w:pPr>
      <w:r>
        <w:drawing>
          <wp:inline distT="0" distB="0" distL="0" distR="0">
            <wp:extent cx="56197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771900"/>
                    </a:xfrm>
                    <a:prstGeom prst="rect">
                      <a:avLst/>
                    </a:prstGeom>
                  </pic:spPr>
                </pic:pic>
              </a:graphicData>
            </a:graphic>
          </wp:inline>
        </w:drawing>
      </w:r>
    </w:p>
    <w:p>
      <w:pPr>
        <w:spacing w:after="260"/>
        <w:jc w:val="center"/>
      </w:pPr>
      <w:r>
        <w:rPr>
          <w:i/>
          <w:iCs/>
          <w:color w:val="555555"/>
          <w:sz w:val="18"/>
          <w:szCs w:val="18"/>
        </w:rPr>
        <w:t xml:space="preserve">Figure 1. Performance metrics of the proposed model, and a literature-value snapshot for context.</w:t>
      </w:r>
    </w:p>
    <w:p>
      <w:pPr>
        <w:pStyle w:val="Heading2"/>
        <w:spacing w:after="100" w:before="220"/>
      </w:pPr>
      <w:r>
        <w:t xml:space="preserve">5.2 Qualitative Feature Coverage Across Approaches</w:t>
      </w:r>
    </w:p>
    <w:p>
      <w:pPr>
        <w:spacing w:after="140"/>
      </w:pPr>
      <w:r>
        <w:t xml:space="preserve">This chart is qualitative, not a performance chart: it shows which functional areas each approach addresses (classification, explainability, reporting, vision-language understanding, medical-knowledge integration, multi-modal diagnosis), not accuracy or F1.</w:t>
      </w:r>
    </w:p>
    <w:p>
      <w:pPr>
        <w:spacing w:after="100" w:before="100"/>
        <w:jc w:val="center"/>
      </w:pPr>
      <w:r>
        <w:drawing>
          <wp:inline distT="0" distB="0" distL="0" distR="0">
            <wp:extent cx="56197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771900"/>
                    </a:xfrm>
                    <a:prstGeom prst="rect">
                      <a:avLst/>
                    </a:prstGeom>
                  </pic:spPr>
                </pic:pic>
              </a:graphicData>
            </a:graphic>
          </wp:inline>
        </w:drawing>
      </w:r>
    </w:p>
    <w:p>
      <w:pPr>
        <w:spacing w:after="260"/>
        <w:jc w:val="center"/>
      </w:pPr>
      <w:r>
        <w:rPr>
          <w:i/>
          <w:iCs/>
          <w:color w:val="555555"/>
          <w:sz w:val="18"/>
          <w:szCs w:val="18"/>
        </w:rPr>
        <w:t xml:space="preserve">Figure 2. Qualitative feature coverage across selected medical AI approaches — not an accuracy or F1 comparison.</w:t>
      </w:r>
    </w:p>
    <w:p>
      <w:pPr>
        <w:pStyle w:val="Heading2"/>
        <w:spacing w:after="100" w:before="220"/>
      </w:pPr>
      <w:r>
        <w:t xml:space="preserve">5.3 Our Model: Macro F1 Across Configurations</w:t>
      </w:r>
    </w:p>
    <w:p>
      <w:pPr>
        <w:spacing w:after="140"/>
      </w:pPr>
      <w:r>
        <w:t xml:space="preserve">A direct, apples-to-apples comparison on our own 11-class evaluation split and protocol, showing the effect of backbone choice and threshold tuning.</w:t>
      </w:r>
    </w:p>
    <w:p>
      <w:pPr>
        <w:spacing w:after="100" w:before="100"/>
        <w:jc w:val="center"/>
      </w:pPr>
      <w:r>
        <w:drawing>
          <wp:inline distT="0" distB="0" distL="0" distR="0">
            <wp:extent cx="56197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771900"/>
                    </a:xfrm>
                    <a:prstGeom prst="rect">
                      <a:avLst/>
                    </a:prstGeom>
                  </pic:spPr>
                </pic:pic>
              </a:graphicData>
            </a:graphic>
          </wp:inline>
        </w:drawing>
      </w:r>
    </w:p>
    <w:p>
      <w:pPr>
        <w:spacing w:after="260"/>
        <w:jc w:val="center"/>
      </w:pPr>
      <w:r>
        <w:rPr>
          <w:i/>
          <w:iCs/>
          <w:color w:val="555555"/>
          <w:sz w:val="18"/>
          <w:szCs w:val="18"/>
        </w:rPr>
        <w:t xml:space="preserve">Figure 3. Macro F1 for DenseNet121 and ViT-B/32 under default and tuned thresholds (same dataset/protocol throughout).</w:t>
      </w:r>
    </w:p>
    <w:p>
      <w:pPr>
        <w:pStyle w:val="Heading2"/>
        <w:spacing w:after="100" w:before="220"/>
      </w:pPr>
      <w:r>
        <w:t xml:space="preserve">5.4 Published Benchmark: Zero-Shot Chest X-Ray Accuracy</w:t>
      </w:r>
    </w:p>
    <w:p>
      <w:pPr>
        <w:spacing w:after="140"/>
      </w:pPr>
      <w:r>
        <w:t xml:space="preserve">For contrast, this chart reproduces a published benchmark (from the MedCLIP paper) comparing zero-shot accuracy across three contrastive vision-language models, each pretrained on a different amount of data.</w:t>
      </w:r>
    </w:p>
    <w:p>
      <w:pPr>
        <w:spacing w:after="100" w:before="100"/>
        <w:jc w:val="center"/>
      </w:pPr>
      <w:r>
        <w:drawing>
          <wp:inline distT="0" distB="0" distL="0" distR="0">
            <wp:extent cx="56197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771900"/>
                    </a:xfrm>
                    <a:prstGeom prst="rect">
                      <a:avLst/>
                    </a:prstGeom>
                  </pic:spPr>
                </pic:pic>
              </a:graphicData>
            </a:graphic>
          </wp:inline>
        </w:drawing>
      </w:r>
    </w:p>
    <w:p>
      <w:pPr>
        <w:spacing w:after="260"/>
        <w:jc w:val="center"/>
      </w:pPr>
      <w:r>
        <w:rPr>
          <w:i/>
          <w:iCs/>
          <w:color w:val="555555"/>
          <w:sz w:val="18"/>
          <w:szCs w:val="18"/>
        </w:rPr>
        <w:t xml:space="preserve">Figure 4. Zero-shot accuracy across medical vision-language models under the MedCLIP paper's benchmark; not on the same scale as Figure 3.</w:t>
      </w:r>
    </w:p>
    <w:p>
      <w:pPr>
        <w:pStyle w:val="Heading1"/>
        <w:spacing w:after="150" w:before="300"/>
      </w:pPr>
      <w:r>
        <w:t xml:space="preserve">6. Key Takeaways</w:t>
      </w:r>
    </w:p>
    <w:p>
      <w:pPr>
        <w:pStyle w:val="ListParagraph"/>
        <w:numPr>
          <w:ilvl w:val="0"/>
          <w:numId w:val="2"/>
        </w:numPr>
        <w:spacing w:after="80"/>
      </w:pPr>
      <w:r>
        <w:rPr>
          <w:b/>
          <w:bCs/>
        </w:rPr>
        <w:t xml:space="preserve">CNN inductive bias helps under small data: </w:t>
      </w:r>
      <w:r>
        <w:t xml:space="preserve">DenseNet121 consistently outperforms ViT-B/32 under our ~4,800-image training constraint, due to built-in locality and translation-invariance biases that ViT lacks.</w:t>
      </w:r>
    </w:p>
    <w:p>
      <w:pPr>
        <w:pStyle w:val="ListParagraph"/>
        <w:numPr>
          <w:ilvl w:val="0"/>
          <w:numId w:val="2"/>
        </w:numPr>
        <w:spacing w:after="80"/>
      </w:pPr>
      <w:r>
        <w:rPr>
          <w:b/>
          <w:bCs/>
        </w:rPr>
        <w:t xml:space="preserve">Threshold tuning is a free performance gain: </w:t>
      </w:r>
      <w:r>
        <w:t xml:space="preserve">optimizing decision thresholds after training improved Macro F1 for both backbones (+0.05 for DenseNet, +0.03 for ViT) without any additional training.</w:t>
      </w:r>
    </w:p>
    <w:p>
      <w:pPr>
        <w:pStyle w:val="ListParagraph"/>
        <w:numPr>
          <w:ilvl w:val="0"/>
          <w:numId w:val="2"/>
        </w:numPr>
        <w:spacing w:after="80"/>
      </w:pPr>
      <w:r>
        <w:rPr>
          <w:b/>
          <w:bCs/>
        </w:rPr>
        <w:t xml:space="preserve">Data efficiency in the literature: </w:t>
      </w:r>
      <w:r>
        <w:t xml:space="preserve">MedCLIP reports higher zero-shot accuracy than GLoRIA and ConVIRT while using roughly one-tenth of their pretraining pairs, by decoupling image-text pairing via semantic similarity.</w:t>
      </w:r>
    </w:p>
    <w:p>
      <w:pPr>
        <w:pStyle w:val="ListParagraph"/>
        <w:numPr>
          <w:ilvl w:val="0"/>
          <w:numId w:val="2"/>
        </w:numPr>
        <w:spacing w:after="80"/>
      </w:pPr>
      <w:r>
        <w:rPr>
          <w:b/>
          <w:bCs/>
        </w:rPr>
        <w:t xml:space="preserve">Metrics are not interchangeable: </w:t>
      </w:r>
      <w:r>
        <w:t xml:space="preserve">AUROC (CheXNet, DenseNet-121), zero-shot accuracy (ConVIRT, GLoRIA, MedCLIP), and Macro F1 (our system) answer different evaluation questions and must not be plotted as one ranked scale.</w:t>
      </w:r>
    </w:p>
    <w:p>
      <w:pPr>
        <w:pStyle w:val="ListParagraph"/>
        <w:numPr>
          <w:ilvl w:val="0"/>
          <w:numId w:val="2"/>
        </w:numPr>
        <w:spacing w:after="80"/>
      </w:pPr>
      <w:r>
        <w:rPr>
          <w:b/>
          <w:bCs/>
        </w:rPr>
        <w:t xml:space="preserve">Coverage vs. scale trade-off: </w:t>
      </w:r>
      <w:r>
        <w:t xml:space="preserve">our proposed system is the only approach in the survey that addresses all six qualitative feature areas (classification, explainability, reporting, vision-language understanding, medical-knowledge integration, multi-modal diagnosis) at once, but it does so with a lightweight, retrieval-based pipeline rather than large-scale pretraining.</w:t>
      </w:r>
    </w:p>
    <w:p>
      <w:pPr>
        <w:pStyle w:val="Heading1"/>
        <w:spacing w:after="150" w:before="300"/>
      </w:pPr>
      <w:r>
        <w:t xml:space="preserve">7. Research Gap Addressed</w:t>
      </w:r>
    </w:p>
    <w:p>
      <w:pPr>
        <w:spacing w:after="140"/>
      </w:pPr>
      <w:r>
        <w:t xml:space="preserve">Existing approaches generally emphasize one major capability at a time — classification, explanation, image-text alignment, knowledge enhancement, or language generation. Our proposed system integrates the practical parts of each into a single lightweight diagnostic workflow:</w:t>
      </w:r>
    </w:p>
    <w:p>
      <w:pPr>
        <w:spacing w:after="200" w:before="100"/>
        <w:jc w:val="center"/>
      </w:pPr>
      <w:r>
        <w:rPr>
          <w:b/>
          <w:bCs/>
          <w:sz w:val="22"/>
          <w:szCs w:val="22"/>
        </w:rPr>
        <w:t xml:space="preserve">Diagnosis  →  Explainability  →  Evidence-Based Report Support  →  Triage</w:t>
      </w:r>
    </w:p>
    <w:p>
      <w:pPr>
        <w:spacing w:after="140"/>
      </w:pPr>
      <w:r>
        <w:t xml:space="preserve">combined into one pipeline rather than reproducing a large-scale medical vision-language pretraining framework — a deliberate scope choice suited to CPU-only hardware and a small, project-specific dataset.</w:t>
      </w:r>
    </w:p>
    <w:p>
      <w:pPr>
        <w:pStyle w:val="Heading1"/>
        <w:spacing w:after="150" w:before="300"/>
      </w:pPr>
      <w:r>
        <w:t xml:space="preserve">8. Conclusion</w:t>
      </w:r>
    </w:p>
    <w:p>
      <w:pPr>
        <w:spacing w:after="140"/>
      </w:pPr>
      <w:r>
        <w:t xml:space="preserve">Placed alongside the literature, our proposed system does not claim to outperform large-scale, differently-benchmarked models such as MedCLIP or CheXNet on their own metrics. Its contribution is architectural: it is the only surveyed approach that combines classification, attention-based explainability, retrieval-grounded reporting, and rule-based triage in one CPU-deployable pipeline. Future work — training on the full dataset, exploring knowledge-enhanced alignment, or adding generative reporting — would move the system further along the same generational progression traced in this survey.</w:t>
      </w:r>
    </w:p>
    <w:p>
      <w:pPr>
        <w:pBdr>
          <w:top w:val="single" w:color="999999" w:sz="6" w:space="8"/>
        </w:pBdr>
        <w:spacing w:before="300"/>
      </w:pPr>
      <w:r>
        <w:rPr>
          <w:i/>
          <w:iCs/>
          <w:color w:val="555555"/>
          <w:sz w:val="20"/>
          <w:szCs w:val="20"/>
        </w:rPr>
        <w:t xml:space="preserve">Prepared for Mini Hackathon 2, building on the literature survey and the Mini Hackathon 1 design report.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a127b61fd4e52189f3bf0a3ad90f9e5c53cbbe.png"/><Relationship Id="rId8" Type="http://schemas.openxmlformats.org/officeDocument/2006/relationships/image" Target="media/cea729c6e5763d4d8b0934180891a30f31b019a2.png"/><Relationship Id="rId9" Type="http://schemas.openxmlformats.org/officeDocument/2006/relationships/image" Target="media/8a8eaa67056d2f87bb6452eb6761da40c0aedbcf.png"/><Relationship Id="rId10" Type="http://schemas.openxmlformats.org/officeDocument/2006/relationships/image" Target="media/1743a91f63e3fab45bab78e5f9b495aa9824810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2026-09-23T04:07:13.084Z</dcterms:created>
  <dcterms:modified xsi:type="dcterms:W3CDTF">2026-09-23T04:07:13.084Z</dcterms:modified>
</cp:coreProperties>
</file>

<file path=docProps/custom.xml><?xml version="1.0" encoding="utf-8"?>
<Properties xmlns="http://schemas.openxmlformats.org/officeDocument/2006/custom-properties" xmlns:vt="http://schemas.openxmlformats.org/officeDocument/2006/docPropsVTypes"/>
</file>